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bidiVisual/>
        <w:tblW w:w="8802"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8"/>
        <w:gridCol w:w="2852"/>
        <w:gridCol w:w="5867"/>
        <w:gridCol w:w="55"/>
      </w:tblGrid>
      <w:tr w:rsidR="0000746F" w:rsidTr="0000746F">
        <w:trPr>
          <w:gridBefore w:val="1"/>
          <w:gridAfter w:val="1"/>
          <w:wBefore w:w="28" w:type="dxa"/>
          <w:wAfter w:w="55" w:type="dxa"/>
        </w:trPr>
        <w:tc>
          <w:tcPr>
            <w:tcW w:w="8719" w:type="dxa"/>
            <w:gridSpan w:val="2"/>
          </w:tcPr>
          <w:p w:rsidR="0000746F" w:rsidRDefault="00836751">
            <w:pPr>
              <w:spacing w:line="360" w:lineRule="auto"/>
              <w:rPr>
                <w:b/>
                <w:bCs/>
                <w:sz w:val="26"/>
                <w:szCs w:val="26"/>
                <w:rtl/>
              </w:rPr>
            </w:pPr>
            <w:r>
              <w:rPr>
                <w:rFonts w:hint="cs"/>
                <w:b/>
                <w:bCs/>
                <w:sz w:val="26"/>
                <w:szCs w:val="26"/>
                <w:rtl/>
              </w:rPr>
              <w:t>לפני כבוד השופט טל פפרני,  סגן הנשיאה</w:t>
            </w:r>
          </w:p>
          <w:p w:rsidR="00622118" w:rsidRDefault="00622118">
            <w:pPr>
              <w:spacing w:line="360" w:lineRule="auto"/>
              <w:rPr>
                <w:b/>
                <w:bCs/>
                <w:sz w:val="26"/>
                <w:szCs w:val="26"/>
                <w:rtl/>
              </w:rPr>
            </w:pPr>
          </w:p>
          <w:p w:rsidR="0000746F" w:rsidRDefault="0021374B">
            <w:pPr>
              <w:spacing w:line="360" w:lineRule="auto"/>
              <w:rPr>
                <w:b/>
                <w:bCs/>
                <w:sz w:val="26"/>
                <w:szCs w:val="26"/>
                <w:rtl/>
              </w:rPr>
            </w:pPr>
          </w:p>
        </w:tc>
      </w:tr>
      <w:tr w:rsidR="0000746F" w:rsidTr="0000746F">
        <w:tc>
          <w:tcPr>
            <w:tcW w:w="2880" w:type="dxa"/>
            <w:gridSpan w:val="2"/>
            <w:hideMark/>
          </w:tcPr>
          <w:p w:rsidR="0000746F" w:rsidRDefault="00836751">
            <w:pPr>
              <w:ind w:left="26"/>
              <w:rPr>
                <w:b/>
                <w:bCs/>
                <w:sz w:val="26"/>
                <w:szCs w:val="26"/>
                <w:u w:val="single"/>
                <w:rtl/>
              </w:rPr>
            </w:pPr>
            <w:r>
              <w:rPr>
                <w:rFonts w:hint="cs"/>
                <w:b/>
                <w:bCs/>
                <w:sz w:val="26"/>
                <w:szCs w:val="26"/>
                <w:u w:val="single"/>
                <w:rtl/>
              </w:rPr>
              <w:t>התובע</w:t>
            </w:r>
          </w:p>
        </w:tc>
        <w:tc>
          <w:tcPr>
            <w:tcW w:w="5922" w:type="dxa"/>
            <w:gridSpan w:val="2"/>
            <w:hideMark/>
          </w:tcPr>
          <w:p w:rsidR="00055DBD" w:rsidRDefault="0083030A" w:rsidP="0083030A">
            <w:pPr>
              <w:rPr>
                <w:b/>
                <w:bCs/>
                <w:sz w:val="26"/>
                <w:szCs w:val="26"/>
                <w:rtl/>
              </w:rPr>
            </w:pPr>
            <w:r>
              <w:rPr>
                <w:rFonts w:hint="cs"/>
                <w:b/>
                <w:bCs/>
                <w:sz w:val="26"/>
                <w:szCs w:val="26"/>
                <w:rtl/>
              </w:rPr>
              <w:t>פלוני</w:t>
            </w:r>
            <w:r w:rsidR="00836751">
              <w:rPr>
                <w:rFonts w:hint="cs"/>
                <w:b/>
                <w:bCs/>
                <w:sz w:val="26"/>
                <w:szCs w:val="26"/>
                <w:rtl/>
              </w:rPr>
              <w:t xml:space="preserve">            דרכון </w:t>
            </w:r>
            <w:r>
              <w:rPr>
                <w:b/>
                <w:bCs/>
                <w:sz w:val="26"/>
                <w:szCs w:val="26"/>
              </w:rPr>
              <w:t>XXXXXXXX</w:t>
            </w:r>
          </w:p>
          <w:p w:rsidR="0000746F" w:rsidRDefault="00055DBD">
            <w:pPr>
              <w:rPr>
                <w:rtl/>
              </w:rPr>
            </w:pPr>
            <w:r>
              <w:rPr>
                <w:rFonts w:hint="cs"/>
                <w:b/>
                <w:bCs/>
                <w:sz w:val="26"/>
                <w:szCs w:val="26"/>
                <w:rtl/>
              </w:rPr>
              <w:t>ע"י ב"כ עוה"ד אמיר קוזקוב</w:t>
            </w:r>
            <w:r w:rsidR="00836751">
              <w:rPr>
                <w:rFonts w:hint="cs"/>
                <w:b/>
                <w:bCs/>
                <w:sz w:val="26"/>
                <w:szCs w:val="26"/>
                <w:rtl/>
              </w:rPr>
              <w:t xml:space="preserve">  </w:t>
            </w:r>
          </w:p>
        </w:tc>
      </w:tr>
      <w:tr w:rsidR="0000746F" w:rsidTr="0000746F">
        <w:tc>
          <w:tcPr>
            <w:tcW w:w="8802" w:type="dxa"/>
            <w:gridSpan w:val="4"/>
          </w:tcPr>
          <w:p w:rsidR="0000746F" w:rsidRDefault="0021374B" w:rsidP="00055DBD">
            <w:pPr>
              <w:rPr>
                <w:rFonts w:ascii="Arial" w:hAnsi="Arial"/>
                <w:b/>
                <w:bCs/>
                <w:sz w:val="26"/>
                <w:szCs w:val="26"/>
                <w:rtl/>
              </w:rPr>
            </w:pPr>
          </w:p>
          <w:p w:rsidR="00055DBD" w:rsidRDefault="00055DBD">
            <w:pPr>
              <w:jc w:val="center"/>
              <w:rPr>
                <w:rFonts w:ascii="Arial" w:hAnsi="Arial"/>
                <w:b/>
                <w:bCs/>
                <w:sz w:val="26"/>
                <w:szCs w:val="26"/>
              </w:rPr>
            </w:pPr>
          </w:p>
          <w:p w:rsidR="0000746F" w:rsidRDefault="00836751">
            <w:pPr>
              <w:jc w:val="center"/>
              <w:rPr>
                <w:rFonts w:ascii="Arial" w:hAnsi="Arial"/>
                <w:b/>
                <w:bCs/>
                <w:sz w:val="26"/>
                <w:szCs w:val="26"/>
                <w:rtl/>
              </w:rPr>
            </w:pPr>
            <w:r>
              <w:rPr>
                <w:rFonts w:ascii="Arial" w:hAnsi="Arial" w:hint="cs"/>
                <w:b/>
                <w:bCs/>
                <w:sz w:val="26"/>
                <w:szCs w:val="26"/>
                <w:rtl/>
              </w:rPr>
              <w:t>נגד</w:t>
            </w:r>
          </w:p>
          <w:p w:rsidR="0000746F" w:rsidRDefault="0021374B">
            <w:pPr>
              <w:jc w:val="center"/>
              <w:rPr>
                <w:rFonts w:ascii="Arial" w:hAnsi="Arial"/>
                <w:b/>
                <w:bCs/>
                <w:sz w:val="26"/>
                <w:szCs w:val="26"/>
                <w:rtl/>
              </w:rPr>
            </w:pPr>
          </w:p>
        </w:tc>
      </w:tr>
      <w:tr w:rsidR="0000746F" w:rsidTr="0000746F">
        <w:tc>
          <w:tcPr>
            <w:tcW w:w="2880" w:type="dxa"/>
            <w:gridSpan w:val="2"/>
            <w:hideMark/>
          </w:tcPr>
          <w:p w:rsidR="0000746F" w:rsidRDefault="00836751">
            <w:pPr>
              <w:ind w:left="26"/>
              <w:rPr>
                <w:b/>
                <w:bCs/>
                <w:sz w:val="26"/>
                <w:szCs w:val="26"/>
                <w:u w:val="single"/>
              </w:rPr>
            </w:pPr>
            <w:r>
              <w:rPr>
                <w:rFonts w:hint="cs"/>
                <w:b/>
                <w:bCs/>
                <w:sz w:val="26"/>
                <w:szCs w:val="26"/>
                <w:u w:val="single"/>
                <w:rtl/>
              </w:rPr>
              <w:t>הנתבעת</w:t>
            </w:r>
          </w:p>
        </w:tc>
        <w:tc>
          <w:tcPr>
            <w:tcW w:w="5922" w:type="dxa"/>
            <w:gridSpan w:val="2"/>
            <w:hideMark/>
          </w:tcPr>
          <w:p w:rsidR="00055DBD" w:rsidRDefault="003C62F1">
            <w:pPr>
              <w:rPr>
                <w:rtl/>
              </w:rPr>
            </w:pPr>
            <w:r>
              <w:rPr>
                <w:rFonts w:hint="cs"/>
                <w:b/>
                <w:bCs/>
                <w:sz w:val="26"/>
                <w:szCs w:val="26"/>
                <w:rtl/>
              </w:rPr>
              <w:t xml:space="preserve">אלמונית </w:t>
            </w:r>
            <w:r w:rsidR="00836751">
              <w:rPr>
                <w:rFonts w:hint="cs"/>
                <w:b/>
                <w:bCs/>
                <w:sz w:val="26"/>
                <w:szCs w:val="26"/>
                <w:rtl/>
              </w:rPr>
              <w:t xml:space="preserve">    דרכון </w:t>
            </w:r>
            <w:r w:rsidR="0083030A">
              <w:rPr>
                <w:b/>
                <w:bCs/>
                <w:sz w:val="26"/>
                <w:szCs w:val="26"/>
              </w:rPr>
              <w:t>XXXXXXXX</w:t>
            </w:r>
          </w:p>
          <w:p w:rsidR="0000746F" w:rsidRPr="00055DBD" w:rsidRDefault="00055DBD">
            <w:pPr>
              <w:rPr>
                <w:b/>
                <w:bCs/>
                <w:rtl/>
              </w:rPr>
            </w:pPr>
            <w:r w:rsidRPr="00055DBD">
              <w:rPr>
                <w:rFonts w:hint="cs"/>
                <w:b/>
                <w:bCs/>
                <w:rtl/>
              </w:rPr>
              <w:t>ע"י ב"כ עוה"ד איריס שיינפלד</w:t>
            </w:r>
            <w:r w:rsidR="00836751" w:rsidRPr="00055DBD">
              <w:rPr>
                <w:rFonts w:hint="cs"/>
                <w:b/>
                <w:bCs/>
                <w:rtl/>
              </w:rPr>
              <w:t xml:space="preserve">   </w:t>
            </w:r>
          </w:p>
        </w:tc>
      </w:tr>
    </w:tbl>
    <w:p w:rsidR="001434F7" w:rsidRDefault="0021374B"/>
    <w:p w:rsidR="006816EC" w:rsidRDefault="006816EC" w:rsidP="003823DA">
      <w:pPr>
        <w:suppressLineNumbers/>
      </w:pP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694556">
        <w:trPr>
          <w:jc w:val="center"/>
        </w:trPr>
        <w:tc>
          <w:tcPr>
            <w:tcW w:w="8820" w:type="dxa"/>
          </w:tcPr>
          <w:p w:rsidR="00694556" w:rsidRDefault="00005C8B">
            <w:pPr>
              <w:bidi w:val="0"/>
              <w:jc w:val="center"/>
              <w:rPr>
                <w:rFonts w:ascii="Arial" w:hAnsi="Arial"/>
                <w:b/>
                <w:bCs/>
                <w:noProof w:val="0"/>
                <w:sz w:val="28"/>
                <w:szCs w:val="28"/>
                <w:u w:val="single"/>
              </w:rPr>
            </w:pPr>
            <w:r>
              <w:rPr>
                <w:rFonts w:ascii="Arial" w:hAnsi="Arial"/>
                <w:b/>
                <w:bCs/>
                <w:noProof w:val="0"/>
                <w:sz w:val="28"/>
                <w:szCs w:val="28"/>
                <w:u w:val="single"/>
                <w:rtl/>
              </w:rPr>
              <w:t>פסק דין</w:t>
            </w:r>
          </w:p>
        </w:tc>
      </w:tr>
    </w:tbl>
    <w:p w:rsidR="00694556" w:rsidRDefault="00694556">
      <w:pPr>
        <w:spacing w:line="360" w:lineRule="auto"/>
        <w:jc w:val="both"/>
        <w:rPr>
          <w:rFonts w:ascii="Arial" w:hAnsi="Arial"/>
          <w:noProof w:val="0"/>
          <w:rtl/>
        </w:rPr>
      </w:pPr>
    </w:p>
    <w:p w:rsidR="00694556" w:rsidRDefault="00AD4CB4">
      <w:pPr>
        <w:spacing w:line="360" w:lineRule="auto"/>
        <w:jc w:val="both"/>
        <w:rPr>
          <w:rFonts w:ascii="Arial" w:hAnsi="Arial"/>
          <w:noProof w:val="0"/>
          <w:rtl/>
        </w:rPr>
      </w:pPr>
      <w:r>
        <w:rPr>
          <w:rFonts w:ascii="Arial" w:hAnsi="Arial" w:hint="cs"/>
          <w:noProof w:val="0"/>
          <w:rtl/>
        </w:rPr>
        <w:t>עניינו של פסק דין זה שתי תביעות</w:t>
      </w:r>
      <w:r w:rsidR="00270CFF">
        <w:rPr>
          <w:rFonts w:ascii="Arial" w:hAnsi="Arial" w:hint="cs"/>
          <w:noProof w:val="0"/>
          <w:rtl/>
        </w:rPr>
        <w:t xml:space="preserve"> שתכליתן דומה</w:t>
      </w:r>
      <w:r>
        <w:rPr>
          <w:rFonts w:ascii="Arial" w:hAnsi="Arial" w:hint="cs"/>
          <w:noProof w:val="0"/>
          <w:rtl/>
        </w:rPr>
        <w:t>:</w:t>
      </w:r>
    </w:p>
    <w:p w:rsidR="00AD4CB4" w:rsidRDefault="00AD4CB4">
      <w:pPr>
        <w:spacing w:line="360" w:lineRule="auto"/>
        <w:jc w:val="both"/>
        <w:rPr>
          <w:rFonts w:ascii="Arial" w:hAnsi="Arial"/>
          <w:noProof w:val="0"/>
          <w:rtl/>
        </w:rPr>
      </w:pPr>
    </w:p>
    <w:p w:rsidR="00AD4CB4" w:rsidRDefault="0021374B" w:rsidP="0083030A">
      <w:pPr>
        <w:jc w:val="both"/>
        <w:rPr>
          <w:b/>
          <w:bCs/>
          <w:noProof w:val="0"/>
          <w:sz w:val="26"/>
          <w:szCs w:val="26"/>
          <w:rtl/>
        </w:rPr>
      </w:pPr>
      <w:sdt>
        <w:sdtPr>
          <w:rPr>
            <w:b/>
            <w:bCs/>
            <w:noProof w:val="0"/>
            <w:sz w:val="26"/>
            <w:szCs w:val="26"/>
            <w:u w:val="single"/>
            <w:rtl/>
          </w:rPr>
          <w:alias w:val="1170"/>
          <w:tag w:val="1170"/>
          <w:id w:val="584498517"/>
          <w:text w:multiLine="1"/>
        </w:sdtPr>
        <w:sdtEndPr/>
        <w:sdtContent>
          <w:r w:rsidR="00AD4CB4" w:rsidRPr="00BE1D38">
            <w:rPr>
              <w:b/>
              <w:bCs/>
              <w:noProof w:val="0"/>
              <w:sz w:val="26"/>
              <w:szCs w:val="26"/>
              <w:u w:val="single"/>
              <w:rtl/>
            </w:rPr>
            <w:t>תמ"ש</w:t>
          </w:r>
        </w:sdtContent>
      </w:sdt>
      <w:r w:rsidR="00AD4CB4" w:rsidRPr="00BE1D38">
        <w:rPr>
          <w:b/>
          <w:bCs/>
          <w:noProof w:val="0"/>
          <w:sz w:val="26"/>
          <w:szCs w:val="26"/>
          <w:u w:val="single"/>
          <w:rtl/>
        </w:rPr>
        <w:t xml:space="preserve"> </w:t>
      </w:r>
      <w:sdt>
        <w:sdtPr>
          <w:rPr>
            <w:b/>
            <w:bCs/>
            <w:noProof w:val="0"/>
            <w:sz w:val="26"/>
            <w:szCs w:val="26"/>
            <w:u w:val="single"/>
            <w:rtl/>
          </w:rPr>
          <w:alias w:val="1171"/>
          <w:tag w:val="1171"/>
          <w:id w:val="-581602344"/>
          <w:text w:multiLine="1"/>
        </w:sdtPr>
        <w:sdtEndPr/>
        <w:sdtContent>
          <w:r w:rsidR="00AD4CB4" w:rsidRPr="00BE1D38">
            <w:rPr>
              <w:b/>
              <w:bCs/>
              <w:noProof w:val="0"/>
              <w:sz w:val="26"/>
              <w:szCs w:val="26"/>
              <w:u w:val="single"/>
              <w:rtl/>
            </w:rPr>
            <w:t>55773-03-24</w:t>
          </w:r>
        </w:sdtContent>
      </w:sdt>
      <w:r w:rsidR="00AD4CB4">
        <w:rPr>
          <w:b/>
          <w:bCs/>
          <w:noProof w:val="0"/>
          <w:sz w:val="26"/>
          <w:szCs w:val="26"/>
          <w:rtl/>
        </w:rPr>
        <w:t xml:space="preserve"> –</w:t>
      </w:r>
      <w:r w:rsidR="00AD4CB4">
        <w:rPr>
          <w:rFonts w:hint="cs"/>
          <w:b/>
          <w:bCs/>
          <w:noProof w:val="0"/>
          <w:sz w:val="26"/>
          <w:szCs w:val="26"/>
          <w:rtl/>
        </w:rPr>
        <w:t xml:space="preserve"> תביעה בהתאם להוראות חוק אמנת האג [החזרת ילדים חטופים], תשנ"א </w:t>
      </w:r>
      <w:r w:rsidR="00AD4CB4">
        <w:rPr>
          <w:b/>
          <w:bCs/>
          <w:noProof w:val="0"/>
          <w:sz w:val="26"/>
          <w:szCs w:val="26"/>
          <w:rtl/>
        </w:rPr>
        <w:t>–</w:t>
      </w:r>
      <w:r w:rsidR="00AD4CB4">
        <w:rPr>
          <w:rFonts w:hint="cs"/>
          <w:b/>
          <w:bCs/>
          <w:noProof w:val="0"/>
          <w:sz w:val="26"/>
          <w:szCs w:val="26"/>
          <w:rtl/>
        </w:rPr>
        <w:t xml:space="preserve"> 1991</w:t>
      </w:r>
      <w:r w:rsidR="0050390D">
        <w:rPr>
          <w:rFonts w:hint="cs"/>
          <w:b/>
          <w:bCs/>
          <w:noProof w:val="0"/>
          <w:sz w:val="26"/>
          <w:szCs w:val="26"/>
          <w:rtl/>
        </w:rPr>
        <w:t xml:space="preserve"> [להלן: "החוק"]</w:t>
      </w:r>
      <w:r w:rsidR="00AD4CB4">
        <w:rPr>
          <w:rFonts w:hint="cs"/>
          <w:b/>
          <w:bCs/>
          <w:noProof w:val="0"/>
          <w:sz w:val="26"/>
          <w:szCs w:val="26"/>
          <w:rtl/>
        </w:rPr>
        <w:t xml:space="preserve">, במסגרתה התבקש בית המשפט להורות על השבתם של </w:t>
      </w:r>
      <w:r w:rsidR="00BC4B95" w:rsidRPr="00BC4B95">
        <w:rPr>
          <w:rFonts w:hint="cs"/>
          <w:b/>
          <w:bCs/>
          <w:noProof w:val="0"/>
          <w:sz w:val="26"/>
          <w:szCs w:val="26"/>
          <w:u w:val="single"/>
          <w:rtl/>
        </w:rPr>
        <w:t>שני</w:t>
      </w:r>
      <w:r w:rsidR="00BC4B95">
        <w:rPr>
          <w:rFonts w:hint="cs"/>
          <w:b/>
          <w:bCs/>
          <w:noProof w:val="0"/>
          <w:sz w:val="26"/>
          <w:szCs w:val="26"/>
          <w:rtl/>
        </w:rPr>
        <w:t xml:space="preserve"> </w:t>
      </w:r>
      <w:r w:rsidR="00AD4CB4">
        <w:rPr>
          <w:rFonts w:hint="cs"/>
          <w:b/>
          <w:bCs/>
          <w:noProof w:val="0"/>
          <w:sz w:val="26"/>
          <w:szCs w:val="26"/>
          <w:rtl/>
        </w:rPr>
        <w:t>הקטינים א</w:t>
      </w:r>
      <w:r w:rsidR="0083030A">
        <w:rPr>
          <w:rFonts w:hint="cs"/>
          <w:b/>
          <w:bCs/>
          <w:noProof w:val="0"/>
          <w:sz w:val="26"/>
          <w:szCs w:val="26"/>
          <w:rtl/>
        </w:rPr>
        <w:t>'</w:t>
      </w:r>
      <w:r w:rsidR="00AD4CB4">
        <w:rPr>
          <w:rFonts w:hint="cs"/>
          <w:b/>
          <w:bCs/>
          <w:noProof w:val="0"/>
          <w:sz w:val="26"/>
          <w:szCs w:val="26"/>
          <w:rtl/>
        </w:rPr>
        <w:t xml:space="preserve"> ופ</w:t>
      </w:r>
      <w:r w:rsidR="0083030A">
        <w:rPr>
          <w:rFonts w:hint="cs"/>
          <w:b/>
          <w:bCs/>
          <w:noProof w:val="0"/>
          <w:sz w:val="26"/>
          <w:szCs w:val="26"/>
          <w:rtl/>
        </w:rPr>
        <w:t>'</w:t>
      </w:r>
      <w:r w:rsidR="00AD4CB4">
        <w:rPr>
          <w:rFonts w:hint="cs"/>
          <w:b/>
          <w:bCs/>
          <w:noProof w:val="0"/>
          <w:sz w:val="26"/>
          <w:szCs w:val="26"/>
          <w:rtl/>
        </w:rPr>
        <w:t>, ילדי הצדדים לאוסטרליה.</w:t>
      </w:r>
    </w:p>
    <w:p w:rsidR="00AD4CB4" w:rsidRDefault="00AD4CB4" w:rsidP="0083030A">
      <w:pPr>
        <w:jc w:val="both"/>
        <w:rPr>
          <w:b/>
          <w:bCs/>
          <w:noProof w:val="0"/>
          <w:sz w:val="26"/>
          <w:szCs w:val="26"/>
          <w:rtl/>
        </w:rPr>
      </w:pPr>
      <w:r>
        <w:rPr>
          <w:rFonts w:hint="cs"/>
          <w:b/>
          <w:bCs/>
          <w:noProof w:val="0"/>
          <w:sz w:val="26"/>
          <w:szCs w:val="26"/>
          <w:rtl/>
        </w:rPr>
        <w:t xml:space="preserve"> </w:t>
      </w:r>
      <w:r>
        <w:rPr>
          <w:b/>
          <w:bCs/>
          <w:noProof w:val="0"/>
          <w:sz w:val="26"/>
          <w:szCs w:val="26"/>
          <w:rtl/>
        </w:rPr>
        <w:br/>
      </w:r>
      <w:r w:rsidRPr="00BE1D38">
        <w:rPr>
          <w:rFonts w:hint="cs"/>
          <w:b/>
          <w:bCs/>
          <w:noProof w:val="0"/>
          <w:sz w:val="26"/>
          <w:szCs w:val="26"/>
          <w:u w:val="single"/>
          <w:rtl/>
        </w:rPr>
        <w:t>תמ"ש 21280-04-24</w:t>
      </w:r>
      <w:r>
        <w:rPr>
          <w:rFonts w:hint="cs"/>
          <w:b/>
          <w:bCs/>
          <w:noProof w:val="0"/>
          <w:sz w:val="26"/>
          <w:szCs w:val="26"/>
          <w:rtl/>
        </w:rPr>
        <w:t xml:space="preserve">  - תביעה במסגרת</w:t>
      </w:r>
      <w:r w:rsidR="00BE1D38">
        <w:rPr>
          <w:rFonts w:hint="cs"/>
          <w:b/>
          <w:bCs/>
          <w:noProof w:val="0"/>
          <w:sz w:val="26"/>
          <w:szCs w:val="26"/>
          <w:rtl/>
        </w:rPr>
        <w:t>ה</w:t>
      </w:r>
      <w:r>
        <w:rPr>
          <w:rFonts w:hint="cs"/>
          <w:b/>
          <w:bCs/>
          <w:noProof w:val="0"/>
          <w:sz w:val="26"/>
          <w:szCs w:val="26"/>
          <w:rtl/>
        </w:rPr>
        <w:t xml:space="preserve"> התבקש בית המשפט להורות על השבתם של הקטינים א</w:t>
      </w:r>
      <w:r w:rsidR="0083030A">
        <w:rPr>
          <w:rFonts w:hint="cs"/>
          <w:b/>
          <w:bCs/>
          <w:noProof w:val="0"/>
          <w:sz w:val="26"/>
          <w:szCs w:val="26"/>
          <w:rtl/>
        </w:rPr>
        <w:t>'</w:t>
      </w:r>
      <w:r>
        <w:rPr>
          <w:rFonts w:hint="cs"/>
          <w:b/>
          <w:bCs/>
          <w:noProof w:val="0"/>
          <w:sz w:val="26"/>
          <w:szCs w:val="26"/>
          <w:rtl/>
        </w:rPr>
        <w:t xml:space="preserve"> ופ</w:t>
      </w:r>
      <w:r w:rsidR="0083030A">
        <w:rPr>
          <w:rFonts w:hint="cs"/>
          <w:b/>
          <w:bCs/>
          <w:noProof w:val="0"/>
          <w:sz w:val="26"/>
          <w:szCs w:val="26"/>
          <w:rtl/>
        </w:rPr>
        <w:t xml:space="preserve">' </w:t>
      </w:r>
      <w:r>
        <w:rPr>
          <w:rFonts w:hint="cs"/>
          <w:b/>
          <w:bCs/>
          <w:noProof w:val="0"/>
          <w:sz w:val="26"/>
          <w:szCs w:val="26"/>
          <w:rtl/>
        </w:rPr>
        <w:t>לאוסטרליה.</w:t>
      </w:r>
    </w:p>
    <w:p w:rsidR="00AD4CB4" w:rsidRDefault="00AD4CB4">
      <w:pPr>
        <w:spacing w:line="360" w:lineRule="auto"/>
        <w:jc w:val="both"/>
        <w:rPr>
          <w:rFonts w:ascii="Arial" w:hAnsi="Arial"/>
          <w:noProof w:val="0"/>
          <w:rtl/>
        </w:rPr>
      </w:pPr>
    </w:p>
    <w:p w:rsidR="00636615" w:rsidRDefault="00636615" w:rsidP="0083030A">
      <w:pPr>
        <w:spacing w:line="360" w:lineRule="auto"/>
        <w:jc w:val="both"/>
        <w:rPr>
          <w:rFonts w:ascii="Arial" w:hAnsi="Arial"/>
          <w:noProof w:val="0"/>
          <w:rtl/>
        </w:rPr>
      </w:pPr>
      <w:r>
        <w:rPr>
          <w:rFonts w:ascii="Arial" w:hAnsi="Arial" w:hint="cs"/>
          <w:noProof w:val="0"/>
          <w:rtl/>
        </w:rPr>
        <w:t>כבר כעת אציין, כי מעבר לכל יתר הנושאים, מקרה זה יוצא דו</w:t>
      </w:r>
      <w:r w:rsidR="00260F78">
        <w:rPr>
          <w:rFonts w:ascii="Arial" w:hAnsi="Arial" w:hint="cs"/>
          <w:noProof w:val="0"/>
          <w:rtl/>
        </w:rPr>
        <w:t>פן, חריג ו</w:t>
      </w:r>
      <w:r>
        <w:rPr>
          <w:rFonts w:ascii="Arial" w:hAnsi="Arial" w:hint="cs"/>
          <w:noProof w:val="0"/>
          <w:rtl/>
        </w:rPr>
        <w:t xml:space="preserve">מיוחד, שכן לצדדים </w:t>
      </w:r>
      <w:r w:rsidRPr="00BC4B95">
        <w:rPr>
          <w:rFonts w:ascii="Arial" w:hAnsi="Arial" w:hint="cs"/>
          <w:b/>
          <w:bCs/>
          <w:noProof w:val="0"/>
          <w:u w:val="single"/>
          <w:rtl/>
        </w:rPr>
        <w:t xml:space="preserve">שלשה </w:t>
      </w:r>
      <w:r>
        <w:rPr>
          <w:rFonts w:ascii="Arial" w:hAnsi="Arial" w:hint="cs"/>
          <w:noProof w:val="0"/>
          <w:rtl/>
        </w:rPr>
        <w:t>ילדים</w:t>
      </w:r>
      <w:r w:rsidR="00260F78">
        <w:rPr>
          <w:rFonts w:ascii="Arial" w:hAnsi="Arial" w:hint="cs"/>
          <w:noProof w:val="0"/>
          <w:rtl/>
        </w:rPr>
        <w:t xml:space="preserve"> כולם קטינים.  </w:t>
      </w:r>
      <w:r>
        <w:rPr>
          <w:rFonts w:ascii="Arial" w:hAnsi="Arial" w:hint="cs"/>
          <w:noProof w:val="0"/>
          <w:rtl/>
        </w:rPr>
        <w:t>מעבר לעניינם של הקטינים א</w:t>
      </w:r>
      <w:r w:rsidR="0083030A">
        <w:rPr>
          <w:rFonts w:ascii="Arial" w:hAnsi="Arial" w:hint="cs"/>
          <w:noProof w:val="0"/>
          <w:rtl/>
        </w:rPr>
        <w:t>'</w:t>
      </w:r>
      <w:r>
        <w:rPr>
          <w:rFonts w:ascii="Arial" w:hAnsi="Arial" w:hint="cs"/>
          <w:noProof w:val="0"/>
          <w:rtl/>
        </w:rPr>
        <w:t xml:space="preserve"> ופ</w:t>
      </w:r>
      <w:r w:rsidR="0083030A">
        <w:rPr>
          <w:rFonts w:ascii="Arial" w:hAnsi="Arial" w:hint="cs"/>
          <w:noProof w:val="0"/>
          <w:rtl/>
        </w:rPr>
        <w:t>'</w:t>
      </w:r>
      <w:r>
        <w:rPr>
          <w:rFonts w:ascii="Arial" w:hAnsi="Arial" w:hint="cs"/>
          <w:noProof w:val="0"/>
          <w:rtl/>
        </w:rPr>
        <w:t xml:space="preserve">, יש לשקול </w:t>
      </w:r>
      <w:r w:rsidR="00260F78">
        <w:rPr>
          <w:rFonts w:ascii="Arial" w:hAnsi="Arial" w:hint="cs"/>
          <w:noProof w:val="0"/>
          <w:rtl/>
        </w:rPr>
        <w:t xml:space="preserve">ולהביא בחשבון </w:t>
      </w:r>
      <w:r w:rsidR="00BE1D38">
        <w:rPr>
          <w:rFonts w:ascii="Arial" w:hAnsi="Arial" w:hint="cs"/>
          <w:noProof w:val="0"/>
          <w:rtl/>
        </w:rPr>
        <w:t xml:space="preserve">גם </w:t>
      </w:r>
      <w:r>
        <w:rPr>
          <w:rFonts w:ascii="Arial" w:hAnsi="Arial" w:hint="cs"/>
          <w:noProof w:val="0"/>
          <w:rtl/>
        </w:rPr>
        <w:t>את עניינו של הקטין א</w:t>
      </w:r>
      <w:r w:rsidR="0083030A">
        <w:rPr>
          <w:rFonts w:ascii="Arial" w:hAnsi="Arial" w:hint="cs"/>
          <w:noProof w:val="0"/>
          <w:rtl/>
        </w:rPr>
        <w:t>.</w:t>
      </w:r>
      <w:r>
        <w:rPr>
          <w:rFonts w:ascii="Arial" w:hAnsi="Arial" w:hint="cs"/>
          <w:noProof w:val="0"/>
          <w:rtl/>
        </w:rPr>
        <w:t>ל</w:t>
      </w:r>
      <w:r w:rsidR="0083030A">
        <w:rPr>
          <w:rFonts w:ascii="Arial" w:hAnsi="Arial" w:hint="cs"/>
          <w:noProof w:val="0"/>
          <w:rtl/>
        </w:rPr>
        <w:t>'</w:t>
      </w:r>
      <w:r>
        <w:rPr>
          <w:rFonts w:ascii="Arial" w:hAnsi="Arial" w:hint="cs"/>
          <w:noProof w:val="0"/>
          <w:rtl/>
        </w:rPr>
        <w:t xml:space="preserve">, </w:t>
      </w:r>
      <w:r w:rsidRPr="00260F78">
        <w:rPr>
          <w:rFonts w:ascii="Arial" w:hAnsi="Arial" w:hint="cs"/>
          <w:b/>
          <w:bCs/>
          <w:noProof w:val="0"/>
          <w:u w:val="single"/>
          <w:rtl/>
        </w:rPr>
        <w:t>אחיו התאום של א</w:t>
      </w:r>
      <w:r w:rsidR="0083030A">
        <w:rPr>
          <w:rFonts w:ascii="Arial" w:hAnsi="Arial" w:hint="cs"/>
          <w:b/>
          <w:bCs/>
          <w:noProof w:val="0"/>
          <w:u w:val="single"/>
          <w:rtl/>
        </w:rPr>
        <w:t>'</w:t>
      </w:r>
      <w:r>
        <w:rPr>
          <w:rFonts w:ascii="Arial" w:hAnsi="Arial" w:hint="cs"/>
          <w:noProof w:val="0"/>
          <w:rtl/>
        </w:rPr>
        <w:t xml:space="preserve">, אשר נותר להתגורר עם אביו התובע באוסטרליה, שם הוא נמצא גם כיום. </w:t>
      </w:r>
    </w:p>
    <w:p w:rsidR="00636615" w:rsidRDefault="00636615">
      <w:pPr>
        <w:spacing w:line="360" w:lineRule="auto"/>
        <w:jc w:val="both"/>
        <w:rPr>
          <w:rFonts w:ascii="Arial" w:hAnsi="Arial"/>
          <w:noProof w:val="0"/>
          <w:rtl/>
        </w:rPr>
      </w:pPr>
    </w:p>
    <w:p w:rsidR="006726A4" w:rsidRPr="006726A4" w:rsidRDefault="006726A4">
      <w:pPr>
        <w:spacing w:line="360" w:lineRule="auto"/>
        <w:jc w:val="both"/>
        <w:rPr>
          <w:rFonts w:ascii="Arial" w:hAnsi="Arial"/>
          <w:b/>
          <w:bCs/>
          <w:noProof w:val="0"/>
          <w:u w:val="single"/>
          <w:rtl/>
        </w:rPr>
      </w:pPr>
      <w:r w:rsidRPr="006726A4">
        <w:rPr>
          <w:rFonts w:ascii="Arial" w:hAnsi="Arial" w:hint="cs"/>
          <w:b/>
          <w:bCs/>
          <w:noProof w:val="0"/>
          <w:u w:val="single"/>
          <w:rtl/>
        </w:rPr>
        <w:t>רקע כללי:</w:t>
      </w:r>
    </w:p>
    <w:p w:rsidR="00AD4CB4" w:rsidRDefault="00AD4CB4">
      <w:pPr>
        <w:spacing w:line="360" w:lineRule="auto"/>
        <w:jc w:val="both"/>
        <w:rPr>
          <w:rFonts w:ascii="Arial" w:hAnsi="Arial"/>
          <w:noProof w:val="0"/>
          <w:rtl/>
        </w:rPr>
      </w:pPr>
    </w:p>
    <w:p w:rsidR="006726A4" w:rsidRDefault="006726A4" w:rsidP="006726A4">
      <w:pPr>
        <w:pStyle w:val="ad"/>
        <w:numPr>
          <w:ilvl w:val="0"/>
          <w:numId w:val="1"/>
        </w:numPr>
        <w:spacing w:line="360" w:lineRule="auto"/>
        <w:jc w:val="both"/>
        <w:rPr>
          <w:rFonts w:ascii="Arial" w:hAnsi="Arial"/>
          <w:noProof w:val="0"/>
        </w:rPr>
      </w:pPr>
      <w:r>
        <w:rPr>
          <w:rFonts w:ascii="Arial" w:hAnsi="Arial" w:hint="cs"/>
          <w:noProof w:val="0"/>
          <w:rtl/>
        </w:rPr>
        <w:t xml:space="preserve">התובע יליד 14/5/1972, ועובד בתחום התכנה.  הנתבעת ילידת 26/3/76 עובדת כמאמנת בתוכנית </w:t>
      </w:r>
      <w:r>
        <w:rPr>
          <w:rFonts w:ascii="Arial" w:hAnsi="Arial" w:hint="cs"/>
          <w:noProof w:val="0"/>
        </w:rPr>
        <w:t>AGILE</w:t>
      </w:r>
      <w:r>
        <w:rPr>
          <w:rFonts w:ascii="Arial" w:hAnsi="Arial" w:hint="cs"/>
          <w:noProof w:val="0"/>
          <w:rtl/>
        </w:rPr>
        <w:t xml:space="preserve">.   הצדדים יהודים, בעלי אזרחות כפולה, ישראלית ואוסטרלית, נישאו ביום 14/10/2002, נפרדו בשנת 2016, והתגרשו בשנת 2018 בסידני אוסטרליה.  </w:t>
      </w:r>
    </w:p>
    <w:p w:rsidR="006726A4" w:rsidRDefault="006726A4" w:rsidP="006726A4">
      <w:pPr>
        <w:pStyle w:val="ad"/>
        <w:spacing w:line="360" w:lineRule="auto"/>
        <w:jc w:val="both"/>
        <w:rPr>
          <w:rFonts w:ascii="Arial" w:hAnsi="Arial"/>
          <w:noProof w:val="0"/>
        </w:rPr>
      </w:pPr>
    </w:p>
    <w:p w:rsidR="006726A4" w:rsidRDefault="006726A4" w:rsidP="006726A4">
      <w:pPr>
        <w:pStyle w:val="ad"/>
        <w:numPr>
          <w:ilvl w:val="0"/>
          <w:numId w:val="1"/>
        </w:numPr>
        <w:spacing w:line="360" w:lineRule="auto"/>
        <w:jc w:val="both"/>
        <w:rPr>
          <w:rFonts w:ascii="Arial" w:hAnsi="Arial"/>
          <w:noProof w:val="0"/>
        </w:rPr>
      </w:pPr>
      <w:r>
        <w:rPr>
          <w:rFonts w:ascii="Arial" w:hAnsi="Arial" w:hint="cs"/>
          <w:noProof w:val="0"/>
          <w:rtl/>
        </w:rPr>
        <w:t>לצדדים 3 ילדים שנולדו באוסטרליה:</w:t>
      </w:r>
    </w:p>
    <w:p w:rsidR="006726A4" w:rsidRDefault="006726A4" w:rsidP="0083030A">
      <w:pPr>
        <w:pStyle w:val="ad"/>
        <w:rPr>
          <w:rFonts w:ascii="Arial" w:hAnsi="Arial"/>
          <w:noProof w:val="0"/>
          <w:rtl/>
        </w:rPr>
      </w:pPr>
      <w:r>
        <w:rPr>
          <w:rFonts w:ascii="Arial" w:hAnsi="Arial" w:hint="cs"/>
          <w:noProof w:val="0"/>
          <w:rtl/>
        </w:rPr>
        <w:t>א</w:t>
      </w:r>
      <w:r w:rsidR="0083030A">
        <w:rPr>
          <w:rFonts w:ascii="Arial" w:hAnsi="Arial" w:hint="cs"/>
          <w:noProof w:val="0"/>
          <w:rtl/>
        </w:rPr>
        <w:t>.</w:t>
      </w:r>
      <w:r>
        <w:rPr>
          <w:rFonts w:ascii="Arial" w:hAnsi="Arial" w:hint="cs"/>
          <w:noProof w:val="0"/>
          <w:rtl/>
        </w:rPr>
        <w:t>ל</w:t>
      </w:r>
      <w:r w:rsidR="0083030A">
        <w:rPr>
          <w:rFonts w:ascii="Arial" w:hAnsi="Arial" w:hint="cs"/>
          <w:noProof w:val="0"/>
          <w:rtl/>
        </w:rPr>
        <w:t xml:space="preserve">' </w:t>
      </w:r>
      <w:r w:rsidR="0083030A" w:rsidRPr="0083030A">
        <w:rPr>
          <w:rFonts w:ascii="David" w:hAnsi="David"/>
          <w:noProof w:val="0"/>
        </w:rPr>
        <w:t>XX.XX.XXXX</w:t>
      </w:r>
      <w:r>
        <w:rPr>
          <w:rFonts w:ascii="Arial" w:hAnsi="Arial" w:hint="cs"/>
          <w:noProof w:val="0"/>
          <w:rtl/>
        </w:rPr>
        <w:t xml:space="preserve"> כבן 13 </w:t>
      </w:r>
    </w:p>
    <w:p w:rsidR="006726A4" w:rsidRDefault="006726A4" w:rsidP="0083030A">
      <w:pPr>
        <w:pStyle w:val="ad"/>
        <w:rPr>
          <w:rFonts w:ascii="Arial" w:hAnsi="Arial"/>
          <w:noProof w:val="0"/>
          <w:rtl/>
        </w:rPr>
      </w:pPr>
      <w:r>
        <w:rPr>
          <w:rFonts w:ascii="Arial" w:hAnsi="Arial" w:hint="cs"/>
          <w:noProof w:val="0"/>
          <w:rtl/>
        </w:rPr>
        <w:lastRenderedPageBreak/>
        <w:t>א</w:t>
      </w:r>
      <w:r w:rsidR="0083030A">
        <w:rPr>
          <w:rFonts w:ascii="Arial" w:hAnsi="Arial" w:hint="cs"/>
          <w:noProof w:val="0"/>
          <w:rtl/>
        </w:rPr>
        <w:t>'</w:t>
      </w:r>
      <w:r>
        <w:rPr>
          <w:rFonts w:ascii="Arial" w:hAnsi="Arial" w:hint="cs"/>
          <w:noProof w:val="0"/>
          <w:rtl/>
        </w:rPr>
        <w:t xml:space="preserve"> יליד </w:t>
      </w:r>
      <w:r w:rsidR="0083030A" w:rsidRPr="0083030A">
        <w:rPr>
          <w:rFonts w:ascii="David" w:hAnsi="David"/>
          <w:noProof w:val="0"/>
        </w:rPr>
        <w:t>XX.XX.XXXX</w:t>
      </w:r>
      <w:r>
        <w:rPr>
          <w:rFonts w:ascii="Arial" w:hAnsi="Arial" w:hint="cs"/>
          <w:noProof w:val="0"/>
          <w:rtl/>
        </w:rPr>
        <w:t xml:space="preserve"> כבן 13</w:t>
      </w:r>
    </w:p>
    <w:p w:rsidR="006726A4" w:rsidRDefault="006726A4" w:rsidP="0083030A">
      <w:pPr>
        <w:pStyle w:val="ad"/>
        <w:rPr>
          <w:rFonts w:ascii="Arial" w:hAnsi="Arial"/>
          <w:noProof w:val="0"/>
          <w:rtl/>
        </w:rPr>
      </w:pPr>
      <w:r>
        <w:rPr>
          <w:rFonts w:ascii="Arial" w:hAnsi="Arial" w:hint="cs"/>
          <w:noProof w:val="0"/>
          <w:rtl/>
        </w:rPr>
        <w:t>פ</w:t>
      </w:r>
      <w:r w:rsidR="0083030A">
        <w:rPr>
          <w:rFonts w:ascii="Arial" w:hAnsi="Arial" w:hint="cs"/>
          <w:noProof w:val="0"/>
          <w:rtl/>
        </w:rPr>
        <w:t>'</w:t>
      </w:r>
      <w:r>
        <w:rPr>
          <w:rFonts w:ascii="Arial" w:hAnsi="Arial" w:hint="cs"/>
          <w:noProof w:val="0"/>
          <w:rtl/>
        </w:rPr>
        <w:t xml:space="preserve"> יליד </w:t>
      </w:r>
      <w:r w:rsidR="0083030A" w:rsidRPr="0083030A">
        <w:rPr>
          <w:rFonts w:ascii="David" w:hAnsi="David"/>
          <w:noProof w:val="0"/>
        </w:rPr>
        <w:t>XX.XX.XXXX</w:t>
      </w:r>
      <w:r w:rsidR="0083030A">
        <w:rPr>
          <w:rFonts w:ascii="Arial" w:hAnsi="Arial" w:hint="cs"/>
          <w:noProof w:val="0"/>
          <w:rtl/>
        </w:rPr>
        <w:t xml:space="preserve"> </w:t>
      </w:r>
      <w:r>
        <w:rPr>
          <w:rFonts w:ascii="Arial" w:hAnsi="Arial" w:hint="cs"/>
          <w:noProof w:val="0"/>
          <w:rtl/>
        </w:rPr>
        <w:t>כבן 10</w:t>
      </w:r>
    </w:p>
    <w:p w:rsidR="00622118" w:rsidRDefault="00622118" w:rsidP="006726A4">
      <w:pPr>
        <w:pStyle w:val="ad"/>
        <w:rPr>
          <w:rFonts w:ascii="Arial" w:hAnsi="Arial"/>
          <w:noProof w:val="0"/>
          <w:rtl/>
        </w:rPr>
      </w:pPr>
    </w:p>
    <w:p w:rsidR="00622118" w:rsidRPr="00DD4EA8" w:rsidRDefault="00622118" w:rsidP="006726A4">
      <w:pPr>
        <w:pStyle w:val="ad"/>
        <w:rPr>
          <w:rFonts w:ascii="Arial" w:hAnsi="Arial"/>
          <w:noProof w:val="0"/>
          <w:rtl/>
        </w:rPr>
      </w:pPr>
    </w:p>
    <w:p w:rsidR="0036507C" w:rsidRDefault="0036507C" w:rsidP="00622118">
      <w:pPr>
        <w:pStyle w:val="ad"/>
        <w:numPr>
          <w:ilvl w:val="0"/>
          <w:numId w:val="1"/>
        </w:numPr>
        <w:spacing w:line="360" w:lineRule="auto"/>
        <w:jc w:val="both"/>
        <w:rPr>
          <w:rFonts w:ascii="Arial" w:hAnsi="Arial"/>
          <w:noProof w:val="0"/>
        </w:rPr>
      </w:pPr>
      <w:r>
        <w:rPr>
          <w:rFonts w:ascii="Arial" w:hAnsi="Arial" w:hint="cs"/>
          <w:noProof w:val="0"/>
          <w:rtl/>
        </w:rPr>
        <w:t>בשנת 2010 בהחלטה משותפת</w:t>
      </w:r>
      <w:r w:rsidR="00622118">
        <w:rPr>
          <w:rFonts w:ascii="Arial" w:hAnsi="Arial" w:hint="cs"/>
          <w:noProof w:val="0"/>
          <w:rtl/>
        </w:rPr>
        <w:t>,</w:t>
      </w:r>
      <w:r>
        <w:rPr>
          <w:rFonts w:ascii="Arial" w:hAnsi="Arial" w:hint="cs"/>
          <w:noProof w:val="0"/>
          <w:rtl/>
        </w:rPr>
        <w:t xml:space="preserve"> </w:t>
      </w:r>
      <w:r w:rsidR="00622118">
        <w:rPr>
          <w:rFonts w:ascii="Arial" w:hAnsi="Arial" w:hint="cs"/>
          <w:noProof w:val="0"/>
          <w:rtl/>
        </w:rPr>
        <w:t xml:space="preserve">אותה יזמה הנתבעת, </w:t>
      </w:r>
      <w:r>
        <w:rPr>
          <w:rFonts w:ascii="Arial" w:hAnsi="Arial" w:hint="cs"/>
          <w:noProof w:val="0"/>
          <w:rtl/>
        </w:rPr>
        <w:t xml:space="preserve">הגיעו הצדדים לאוסטרליה והחליטו להשתקע שם.  הצדדים פנו לקבלת מעמד של תושבים, ואולם ללא תכנית ברורה ביחס לעתיד, ומהו פרק הזמן בו יישארו שם [ר' חוו"ד המומחה גוטליב בהמשך]. מבחינה מקצועית הצדדים מצאו את מקומם. משכורתם אפשרה רמת חיים גבוהה מזו שהיתה בישראל אך לא ברווחה מיוחדת.  משכורתה של הנתבעת ככל הנראה, היתה גבוהה מזו של התובע.  </w:t>
      </w:r>
    </w:p>
    <w:p w:rsidR="0036507C" w:rsidRDefault="0036507C" w:rsidP="0036507C">
      <w:pPr>
        <w:pStyle w:val="ad"/>
        <w:spacing w:line="360" w:lineRule="auto"/>
        <w:jc w:val="both"/>
        <w:rPr>
          <w:rFonts w:ascii="Arial" w:hAnsi="Arial"/>
          <w:noProof w:val="0"/>
        </w:rPr>
      </w:pPr>
    </w:p>
    <w:p w:rsidR="0036507C" w:rsidRDefault="0036507C" w:rsidP="0036507C">
      <w:pPr>
        <w:pStyle w:val="ad"/>
        <w:numPr>
          <w:ilvl w:val="0"/>
          <w:numId w:val="1"/>
        </w:numPr>
        <w:spacing w:line="360" w:lineRule="auto"/>
        <w:jc w:val="both"/>
        <w:rPr>
          <w:rFonts w:ascii="Arial" w:hAnsi="Arial"/>
          <w:noProof w:val="0"/>
        </w:rPr>
      </w:pPr>
      <w:r>
        <w:rPr>
          <w:rFonts w:ascii="Arial" w:hAnsi="Arial" w:hint="cs"/>
          <w:noProof w:val="0"/>
          <w:rtl/>
        </w:rPr>
        <w:t xml:space="preserve">ביום 16/11/2018 חתמו הצדדים על הסכם גירושין, אשר אושר וקיבל תוקף של פסק דין בבית משפט למשפחה באוסטרליה בתיק 7224/18  </w:t>
      </w:r>
      <w:r w:rsidRPr="005F4C89">
        <w:rPr>
          <w:rFonts w:ascii="Arial" w:hAnsi="Arial" w:hint="cs"/>
          <w:b/>
          <w:bCs/>
          <w:noProof w:val="0"/>
          <w:rtl/>
        </w:rPr>
        <w:t>[להלן: "הסכם הגירושין"]</w:t>
      </w:r>
      <w:r>
        <w:rPr>
          <w:rFonts w:ascii="Arial" w:hAnsi="Arial" w:hint="cs"/>
          <w:noProof w:val="0"/>
          <w:rtl/>
        </w:rPr>
        <w:t>.  בסעיף 32 להסכם הגירושין נקבע כדלקמן:</w:t>
      </w:r>
    </w:p>
    <w:p w:rsidR="00436C39" w:rsidRDefault="00436C39" w:rsidP="00436C39">
      <w:pPr>
        <w:pStyle w:val="ad"/>
        <w:rPr>
          <w:rFonts w:ascii="Arial" w:hAnsi="Arial"/>
          <w:noProof w:val="0"/>
          <w:rtl/>
        </w:rPr>
      </w:pPr>
    </w:p>
    <w:p w:rsidR="00436C39" w:rsidRDefault="00436C39" w:rsidP="00436C39">
      <w:pPr>
        <w:pStyle w:val="ad"/>
        <w:spacing w:line="360" w:lineRule="auto"/>
        <w:jc w:val="both"/>
        <w:rPr>
          <w:rFonts w:ascii="Arial" w:hAnsi="Arial"/>
          <w:b/>
          <w:bCs/>
          <w:noProof w:val="0"/>
          <w:u w:val="single"/>
          <w:rtl/>
        </w:rPr>
      </w:pPr>
      <w:r w:rsidRPr="00735A04">
        <w:rPr>
          <w:rFonts w:ascii="Arial" w:hAnsi="Arial" w:hint="cs"/>
          <w:b/>
          <w:bCs/>
          <w:noProof w:val="0"/>
          <w:u w:val="single"/>
          <w:rtl/>
        </w:rPr>
        <w:t>"ניתן בזאת היתר לאם להעתיק את מקום מגוריהם של הילדים לישראל, במתן הודעה בכתב בת לא פחות מ- 90 יום לאב על כוונתה להעתיק את מקום המגורים."</w:t>
      </w:r>
      <w:r>
        <w:rPr>
          <w:rFonts w:ascii="Arial" w:hAnsi="Arial" w:hint="cs"/>
          <w:b/>
          <w:bCs/>
          <w:noProof w:val="0"/>
          <w:u w:val="single"/>
          <w:rtl/>
        </w:rPr>
        <w:t xml:space="preserve">  </w:t>
      </w:r>
    </w:p>
    <w:p w:rsidR="00436C39" w:rsidRPr="00735A04" w:rsidRDefault="00436C39" w:rsidP="00436C39">
      <w:pPr>
        <w:pStyle w:val="ad"/>
        <w:spacing w:line="360" w:lineRule="auto"/>
        <w:jc w:val="both"/>
        <w:rPr>
          <w:rFonts w:ascii="Arial" w:hAnsi="Arial"/>
          <w:noProof w:val="0"/>
        </w:rPr>
      </w:pPr>
      <w:r w:rsidRPr="00735A04">
        <w:rPr>
          <w:rFonts w:ascii="Arial" w:hAnsi="Arial" w:hint="cs"/>
          <w:noProof w:val="0"/>
          <w:rtl/>
        </w:rPr>
        <w:t>[ר' מוצג מס' 1 לתיק מוצגי התובע]</w:t>
      </w:r>
    </w:p>
    <w:p w:rsidR="00436C39" w:rsidRPr="00436C39" w:rsidRDefault="00436C39" w:rsidP="00436C39">
      <w:pPr>
        <w:pStyle w:val="ad"/>
        <w:rPr>
          <w:rFonts w:ascii="Arial" w:hAnsi="Arial"/>
          <w:noProof w:val="0"/>
          <w:rtl/>
        </w:rPr>
      </w:pPr>
    </w:p>
    <w:p w:rsidR="00436C39" w:rsidRPr="00436C39" w:rsidRDefault="00436C39" w:rsidP="00436C39">
      <w:pPr>
        <w:pStyle w:val="ad"/>
        <w:rPr>
          <w:rFonts w:ascii="Arial" w:hAnsi="Arial"/>
          <w:noProof w:val="0"/>
          <w:rtl/>
        </w:rPr>
      </w:pPr>
    </w:p>
    <w:p w:rsidR="0036507C" w:rsidRPr="0083030A" w:rsidRDefault="00436C39" w:rsidP="0083030A">
      <w:pPr>
        <w:pStyle w:val="ad"/>
        <w:numPr>
          <w:ilvl w:val="0"/>
          <w:numId w:val="1"/>
        </w:numPr>
        <w:spacing w:line="360" w:lineRule="auto"/>
        <w:jc w:val="both"/>
        <w:rPr>
          <w:rFonts w:ascii="Arial" w:hAnsi="Arial"/>
          <w:noProof w:val="0"/>
        </w:rPr>
      </w:pPr>
      <w:r>
        <w:rPr>
          <w:rFonts w:ascii="Arial" w:hAnsi="Arial" w:hint="cs"/>
          <w:noProof w:val="0"/>
          <w:rtl/>
        </w:rPr>
        <w:t xml:space="preserve">בין הצדדים מתנהל </w:t>
      </w:r>
      <w:r w:rsidR="001A3BB6">
        <w:rPr>
          <w:rFonts w:ascii="Arial" w:hAnsi="Arial" w:hint="cs"/>
          <w:noProof w:val="0"/>
          <w:rtl/>
        </w:rPr>
        <w:t xml:space="preserve">במקביל </w:t>
      </w:r>
      <w:r>
        <w:rPr>
          <w:rFonts w:ascii="Arial" w:hAnsi="Arial" w:hint="cs"/>
          <w:noProof w:val="0"/>
          <w:rtl/>
        </w:rPr>
        <w:t xml:space="preserve">הליך </w:t>
      </w:r>
      <w:r w:rsidR="001A3BB6">
        <w:rPr>
          <w:rFonts w:ascii="Arial" w:hAnsi="Arial" w:hint="cs"/>
          <w:noProof w:val="0"/>
          <w:rtl/>
        </w:rPr>
        <w:t xml:space="preserve">נוסף באוסטרליה, לגביו אתייחס להלן בהרחבה, לרבות </w:t>
      </w:r>
      <w:r w:rsidR="001A3BB6" w:rsidRPr="007C0FC5">
        <w:rPr>
          <w:rFonts w:ascii="Arial" w:hAnsi="Arial" w:hint="cs"/>
          <w:b/>
          <w:bCs/>
          <w:noProof w:val="0"/>
          <w:u w:val="single"/>
          <w:rtl/>
        </w:rPr>
        <w:t>פסק הדין</w:t>
      </w:r>
      <w:r w:rsidR="001A3BB6">
        <w:rPr>
          <w:rFonts w:ascii="Arial" w:hAnsi="Arial" w:hint="cs"/>
          <w:noProof w:val="0"/>
          <w:rtl/>
        </w:rPr>
        <w:t xml:space="preserve"> שניתן באוסטרליה ביום  12/2/24 </w:t>
      </w:r>
      <w:r w:rsidR="001A3BB6" w:rsidRPr="005F4C89">
        <w:rPr>
          <w:rFonts w:ascii="Arial" w:hAnsi="Arial" w:hint="cs"/>
          <w:b/>
          <w:bCs/>
          <w:noProof w:val="0"/>
          <w:rtl/>
        </w:rPr>
        <w:t xml:space="preserve">[להלן: "פסק הדין </w:t>
      </w:r>
      <w:r w:rsidR="005F4C89" w:rsidRPr="005F4C89">
        <w:rPr>
          <w:rFonts w:ascii="Arial" w:hAnsi="Arial" w:hint="cs"/>
          <w:b/>
          <w:bCs/>
          <w:noProof w:val="0"/>
          <w:rtl/>
        </w:rPr>
        <w:t>האוסטרלי"]</w:t>
      </w:r>
      <w:r w:rsidR="001A3BB6" w:rsidRPr="005F4C89">
        <w:rPr>
          <w:rFonts w:ascii="Arial" w:hAnsi="Arial" w:hint="cs"/>
          <w:b/>
          <w:bCs/>
          <w:noProof w:val="0"/>
          <w:rtl/>
        </w:rPr>
        <w:t>.</w:t>
      </w:r>
      <w:r w:rsidR="001A3BB6" w:rsidRPr="001A3BB6">
        <w:rPr>
          <w:rFonts w:ascii="Arial" w:hAnsi="Arial" w:hint="cs"/>
          <w:noProof w:val="0"/>
          <w:rtl/>
        </w:rPr>
        <w:t xml:space="preserve"> </w:t>
      </w:r>
      <w:r w:rsidR="00EB7156">
        <w:rPr>
          <w:rFonts w:ascii="Arial" w:hAnsi="Arial" w:hint="cs"/>
          <w:noProof w:val="0"/>
          <w:rtl/>
        </w:rPr>
        <w:t xml:space="preserve">  יש לציין כי לטענת ב"כ התובע מדובר </w:t>
      </w:r>
      <w:r w:rsidR="00EB7156" w:rsidRPr="007C0FC5">
        <w:rPr>
          <w:rFonts w:ascii="Arial" w:hAnsi="Arial" w:hint="cs"/>
          <w:b/>
          <w:bCs/>
          <w:noProof w:val="0"/>
          <w:u w:val="single"/>
          <w:rtl/>
        </w:rPr>
        <w:t>בהחלטה</w:t>
      </w:r>
      <w:r w:rsidR="00EB7156">
        <w:rPr>
          <w:rFonts w:ascii="Arial" w:hAnsi="Arial" w:hint="cs"/>
          <w:noProof w:val="0"/>
          <w:rtl/>
        </w:rPr>
        <w:t xml:space="preserve"> שניתנה בבקשה לסעד זמני, וההליכים עודם נמשכים, ואולם, מכל מקום, מבלי לקבוע מסמרות, ולצורך ההליך הנוכחי אתייחס אליו כאל פסק דין כאמור.</w:t>
      </w:r>
    </w:p>
    <w:p w:rsidR="0036507C" w:rsidRDefault="0036507C" w:rsidP="006726A4">
      <w:pPr>
        <w:spacing w:line="360" w:lineRule="auto"/>
        <w:jc w:val="both"/>
        <w:rPr>
          <w:rFonts w:ascii="Arial" w:hAnsi="Arial"/>
          <w:noProof w:val="0"/>
          <w:rtl/>
        </w:rPr>
      </w:pPr>
    </w:p>
    <w:p w:rsidR="006726A4" w:rsidRPr="00DD4EA8" w:rsidRDefault="006726A4" w:rsidP="006726A4">
      <w:pPr>
        <w:spacing w:line="360" w:lineRule="auto"/>
        <w:jc w:val="both"/>
        <w:rPr>
          <w:rFonts w:ascii="Arial" w:hAnsi="Arial"/>
          <w:b/>
          <w:bCs/>
          <w:noProof w:val="0"/>
          <w:u w:val="single"/>
          <w:rtl/>
        </w:rPr>
      </w:pPr>
      <w:r>
        <w:rPr>
          <w:rFonts w:ascii="Arial" w:hAnsi="Arial" w:hint="cs"/>
          <w:b/>
          <w:bCs/>
          <w:noProof w:val="0"/>
          <w:u w:val="single"/>
          <w:rtl/>
        </w:rPr>
        <w:t xml:space="preserve">תמצית </w:t>
      </w:r>
      <w:r w:rsidRPr="00DD4EA8">
        <w:rPr>
          <w:rFonts w:ascii="Arial" w:hAnsi="Arial" w:hint="cs"/>
          <w:b/>
          <w:bCs/>
          <w:noProof w:val="0"/>
          <w:u w:val="single"/>
          <w:rtl/>
        </w:rPr>
        <w:t>טענות התובע:</w:t>
      </w:r>
    </w:p>
    <w:p w:rsidR="00DD4EA8" w:rsidRDefault="00DD4EA8" w:rsidP="00DD4EA8">
      <w:pPr>
        <w:pStyle w:val="ad"/>
        <w:spacing w:line="360" w:lineRule="auto"/>
        <w:jc w:val="both"/>
        <w:rPr>
          <w:rFonts w:ascii="Arial" w:hAnsi="Arial"/>
          <w:noProof w:val="0"/>
        </w:rPr>
      </w:pPr>
    </w:p>
    <w:p w:rsidR="00DD4EA8" w:rsidRDefault="00DD4EA8" w:rsidP="0036507C">
      <w:pPr>
        <w:pStyle w:val="ad"/>
        <w:numPr>
          <w:ilvl w:val="0"/>
          <w:numId w:val="1"/>
        </w:numPr>
        <w:spacing w:line="360" w:lineRule="auto"/>
        <w:jc w:val="both"/>
        <w:rPr>
          <w:rFonts w:ascii="Arial" w:hAnsi="Arial"/>
          <w:noProof w:val="0"/>
        </w:rPr>
      </w:pPr>
      <w:r>
        <w:rPr>
          <w:rFonts w:ascii="Arial" w:hAnsi="Arial" w:hint="cs"/>
          <w:noProof w:val="0"/>
          <w:rtl/>
        </w:rPr>
        <w:t xml:space="preserve">הצדדים מתגוררים באוסטרליה משנת 2010, שם נולדו </w:t>
      </w:r>
      <w:r w:rsidR="0036507C">
        <w:rPr>
          <w:rFonts w:ascii="Arial" w:hAnsi="Arial" w:hint="cs"/>
          <w:noProof w:val="0"/>
          <w:rtl/>
        </w:rPr>
        <w:t xml:space="preserve">שלושת </w:t>
      </w:r>
      <w:r>
        <w:rPr>
          <w:rFonts w:ascii="Arial" w:hAnsi="Arial" w:hint="cs"/>
          <w:noProof w:val="0"/>
          <w:rtl/>
        </w:rPr>
        <w:t>הקטינים ושם מרכז חייהם.  הילדים התחנכו במסגרות לימוד באוסטרליה בלבד, שפתם העיקרית הנה אנגלית, הם דוברים עברית ברמה נמוכה, והגיעו לישראל מספר פעמים, לצורך ביקורים בלבד בשנת 2011, 2015, 2</w:t>
      </w:r>
      <w:r w:rsidR="001A0712">
        <w:rPr>
          <w:rFonts w:ascii="Arial" w:hAnsi="Arial" w:hint="cs"/>
          <w:noProof w:val="0"/>
          <w:rtl/>
        </w:rPr>
        <w:t>023.</w:t>
      </w:r>
    </w:p>
    <w:p w:rsidR="00DD4EA8" w:rsidRDefault="00DD4EA8" w:rsidP="0083030A">
      <w:pPr>
        <w:pStyle w:val="ad"/>
        <w:jc w:val="both"/>
        <w:rPr>
          <w:rFonts w:ascii="Arial" w:hAnsi="Arial"/>
          <w:noProof w:val="0"/>
        </w:rPr>
      </w:pPr>
    </w:p>
    <w:p w:rsidR="00735A04" w:rsidRDefault="00F9052F" w:rsidP="00517BF6">
      <w:pPr>
        <w:pStyle w:val="ad"/>
        <w:numPr>
          <w:ilvl w:val="0"/>
          <w:numId w:val="1"/>
        </w:numPr>
        <w:spacing w:line="360" w:lineRule="auto"/>
        <w:jc w:val="both"/>
        <w:rPr>
          <w:rFonts w:ascii="Arial" w:hAnsi="Arial"/>
          <w:noProof w:val="0"/>
        </w:rPr>
      </w:pPr>
      <w:r>
        <w:rPr>
          <w:rFonts w:ascii="Arial" w:hAnsi="Arial" w:hint="cs"/>
          <w:noProof w:val="0"/>
          <w:rtl/>
        </w:rPr>
        <w:t xml:space="preserve">במסגרת הסכם הגירושין, נקבעה אחריות הורית משותפת, וחלוקת זמני שהות שווה. </w:t>
      </w:r>
    </w:p>
    <w:p w:rsidR="00F9052F" w:rsidRDefault="00F9052F" w:rsidP="00F9052F">
      <w:pPr>
        <w:pStyle w:val="ad"/>
        <w:spacing w:line="360" w:lineRule="auto"/>
        <w:jc w:val="both"/>
        <w:rPr>
          <w:rFonts w:ascii="Arial" w:hAnsi="Arial"/>
          <w:noProof w:val="0"/>
        </w:rPr>
      </w:pPr>
    </w:p>
    <w:p w:rsidR="00F9052F" w:rsidRDefault="00F9052F" w:rsidP="00732E8F">
      <w:pPr>
        <w:pStyle w:val="ad"/>
        <w:numPr>
          <w:ilvl w:val="0"/>
          <w:numId w:val="1"/>
        </w:numPr>
        <w:spacing w:line="360" w:lineRule="auto"/>
        <w:jc w:val="both"/>
        <w:rPr>
          <w:rFonts w:ascii="Arial" w:hAnsi="Arial"/>
          <w:noProof w:val="0"/>
        </w:rPr>
      </w:pPr>
      <w:r w:rsidRPr="00F9052F">
        <w:rPr>
          <w:rFonts w:ascii="Arial" w:hAnsi="Arial" w:hint="cs"/>
          <w:noProof w:val="0"/>
          <w:rtl/>
        </w:rPr>
        <w:lastRenderedPageBreak/>
        <w:t xml:space="preserve">לטענת התובע, הוראות ס' 32 להסכם מתייחסות לאפשרות העתקת מקום מגורי שלושת הקטינים, בתנאים מסוימים, ביניהם, מתן הודעה מוקדמת של 90 יום לפחות.  </w:t>
      </w:r>
      <w:r>
        <w:rPr>
          <w:rFonts w:ascii="Arial" w:hAnsi="Arial" w:hint="cs"/>
          <w:noProof w:val="0"/>
          <w:rtl/>
        </w:rPr>
        <w:t xml:space="preserve"> ההסכם נחתם בשנת 2018, כאשר הנסיבות היו שונות, הקטינים היו צעירים בשש שנים, וההתייחסות היתה נכונה לאותה עת.</w:t>
      </w:r>
    </w:p>
    <w:p w:rsidR="00B16CFD" w:rsidRPr="00B16CFD" w:rsidRDefault="00B16CFD" w:rsidP="00B16CFD">
      <w:pPr>
        <w:pStyle w:val="ad"/>
        <w:rPr>
          <w:rFonts w:ascii="Arial" w:hAnsi="Arial"/>
          <w:noProof w:val="0"/>
          <w:rtl/>
        </w:rPr>
      </w:pPr>
    </w:p>
    <w:p w:rsidR="00B16CFD" w:rsidRDefault="00B16CFD" w:rsidP="002D2C68">
      <w:pPr>
        <w:pStyle w:val="ad"/>
        <w:numPr>
          <w:ilvl w:val="0"/>
          <w:numId w:val="1"/>
        </w:numPr>
        <w:spacing w:line="360" w:lineRule="auto"/>
        <w:jc w:val="both"/>
        <w:rPr>
          <w:rFonts w:ascii="Arial" w:hAnsi="Arial"/>
          <w:noProof w:val="0"/>
        </w:rPr>
      </w:pPr>
      <w:r>
        <w:rPr>
          <w:rFonts w:ascii="Arial" w:hAnsi="Arial" w:hint="cs"/>
          <w:noProof w:val="0"/>
          <w:rtl/>
        </w:rPr>
        <w:t xml:space="preserve">ביום 11/11/22 הודיעה הנתבעת לתובעת על כוונתה </w:t>
      </w:r>
      <w:r w:rsidR="005E63EE">
        <w:rPr>
          <w:rFonts w:ascii="Arial" w:hAnsi="Arial" w:hint="cs"/>
          <w:noProof w:val="0"/>
          <w:rtl/>
        </w:rPr>
        <w:t xml:space="preserve">להעתיק את מקום מגורי הקטינים לישראל.   הצדדים פנו למגשרת </w:t>
      </w:r>
      <w:r w:rsidR="002D2C68">
        <w:rPr>
          <w:rFonts w:ascii="Arial" w:hAnsi="Arial" w:hint="cs"/>
          <w:noProof w:val="0"/>
        </w:rPr>
        <w:t>XXXX</w:t>
      </w:r>
      <w:r w:rsidR="005E63EE">
        <w:rPr>
          <w:rFonts w:ascii="Arial" w:hAnsi="Arial" w:hint="cs"/>
          <w:noProof w:val="0"/>
          <w:rtl/>
        </w:rPr>
        <w:t xml:space="preserve"> וניסו להגיע להסכמות [ביום 14/12/22], ואולם הדבר לא צלח.  לפיכך, התובע הודיע כי הוא מתכוון לפתוח בהליך מתאים על מנת לוודא כי הקטינים נשארים באוסטרליה.</w:t>
      </w:r>
      <w:r w:rsidR="00CD21E0">
        <w:rPr>
          <w:rFonts w:ascii="Arial" w:hAnsi="Arial" w:hint="cs"/>
          <w:noProof w:val="0"/>
          <w:rtl/>
        </w:rPr>
        <w:t xml:space="preserve">  ביום 25/1/23 הודיעה הנתבעת לתובעת כי היא החליטה לדחות את ההחלטה לחזור לישראל, והציעה להתחיל מפגשים עם מאמנת הורים, חיה פנחס מישראל ולבצע ביקורים שנתיים בישראל.  המפגשים עם חיה פנחס החלו בחודש פברואר 2023, וביולי אוגוסט 23 התקיים ביקור בישראל.  עקב כך, נמנע התובע מלפתוח בהליכים משפטיים, במטרה לאפשר ההליך הטיפולי ולהגיע להסכמות. </w:t>
      </w:r>
    </w:p>
    <w:p w:rsidR="00CD21E0" w:rsidRPr="00CD21E0" w:rsidRDefault="00CD21E0" w:rsidP="00CD21E0">
      <w:pPr>
        <w:pStyle w:val="ad"/>
        <w:rPr>
          <w:rFonts w:ascii="Arial" w:hAnsi="Arial"/>
          <w:noProof w:val="0"/>
          <w:rtl/>
        </w:rPr>
      </w:pPr>
    </w:p>
    <w:p w:rsidR="004C4F98" w:rsidRDefault="00CD21E0" w:rsidP="00CD21E0">
      <w:pPr>
        <w:pStyle w:val="ad"/>
        <w:numPr>
          <w:ilvl w:val="0"/>
          <w:numId w:val="1"/>
        </w:numPr>
        <w:spacing w:line="360" w:lineRule="auto"/>
        <w:jc w:val="both"/>
        <w:rPr>
          <w:rFonts w:ascii="Arial" w:hAnsi="Arial"/>
          <w:noProof w:val="0"/>
        </w:rPr>
      </w:pPr>
      <w:r>
        <w:rPr>
          <w:rFonts w:ascii="Arial" w:hAnsi="Arial" w:hint="cs"/>
          <w:noProof w:val="0"/>
          <w:rtl/>
        </w:rPr>
        <w:t>ביום 4/10/23 שלחה הנתבעת לתובע הודעה נוספת על כוונתה להעתיק את מקום מגורי הקטינים לישראל, זאת ביום 15/1/24.  התובע הודיע לנתבעת בשיחת טלפון, כי הוא מתנגד, זאת מאחר וטובת הקטינים להתגורר באוסטרליה, שם גדלו והתחנכו, שם נמצאים חבריהם, שפתם, תרבותם, וכן מאחר</w:t>
      </w:r>
      <w:r w:rsidR="009F79D1">
        <w:rPr>
          <w:rFonts w:ascii="Arial" w:hAnsi="Arial" w:hint="cs"/>
          <w:noProof w:val="0"/>
          <w:rtl/>
        </w:rPr>
        <w:t xml:space="preserve"> והקטינים אינם מעוניינים לעבור לישראל, גם לאור מערכת היחסים המורכבת של הנתבעת עם ילדיה.</w:t>
      </w:r>
    </w:p>
    <w:p w:rsidR="004C4F98" w:rsidRPr="004C4F98" w:rsidRDefault="004C4F98" w:rsidP="004C4F98">
      <w:pPr>
        <w:pStyle w:val="ad"/>
        <w:rPr>
          <w:rFonts w:ascii="Arial" w:hAnsi="Arial"/>
          <w:noProof w:val="0"/>
          <w:rtl/>
        </w:rPr>
      </w:pPr>
    </w:p>
    <w:p w:rsidR="00CB74A7" w:rsidRDefault="004C4F98" w:rsidP="0083030A">
      <w:pPr>
        <w:pStyle w:val="ad"/>
        <w:numPr>
          <w:ilvl w:val="0"/>
          <w:numId w:val="1"/>
        </w:numPr>
        <w:spacing w:line="360" w:lineRule="auto"/>
        <w:jc w:val="both"/>
        <w:rPr>
          <w:rFonts w:ascii="Arial" w:hAnsi="Arial"/>
          <w:noProof w:val="0"/>
        </w:rPr>
      </w:pPr>
      <w:r>
        <w:rPr>
          <w:rFonts w:ascii="Arial" w:hAnsi="Arial" w:hint="cs"/>
          <w:noProof w:val="0"/>
          <w:rtl/>
        </w:rPr>
        <w:t>ביום 16/12/23 שהו הילדים אצל הנתבעת, ואולם הקטין א</w:t>
      </w:r>
      <w:r w:rsidR="0083030A">
        <w:rPr>
          <w:rFonts w:ascii="Arial" w:hAnsi="Arial" w:hint="cs"/>
          <w:noProof w:val="0"/>
          <w:rtl/>
        </w:rPr>
        <w:t>.</w:t>
      </w:r>
      <w:r>
        <w:rPr>
          <w:rFonts w:ascii="Arial" w:hAnsi="Arial" w:hint="cs"/>
          <w:noProof w:val="0"/>
          <w:rtl/>
        </w:rPr>
        <w:t>ל</w:t>
      </w:r>
      <w:r w:rsidR="0083030A">
        <w:rPr>
          <w:rFonts w:ascii="Arial" w:hAnsi="Arial" w:hint="cs"/>
          <w:noProof w:val="0"/>
          <w:rtl/>
        </w:rPr>
        <w:t>'</w:t>
      </w:r>
      <w:r>
        <w:rPr>
          <w:rFonts w:ascii="Arial" w:hAnsi="Arial" w:hint="cs"/>
          <w:noProof w:val="0"/>
          <w:rtl/>
        </w:rPr>
        <w:t xml:space="preserve"> ברח לביתו של האב לאחר ויכוח עם הנתבעת, שהתפתח עד כדי אלימות פיזית.</w:t>
      </w:r>
      <w:r w:rsidR="00CB74A7">
        <w:rPr>
          <w:rFonts w:ascii="Arial" w:hAnsi="Arial" w:hint="cs"/>
          <w:noProof w:val="0"/>
          <w:rtl/>
        </w:rPr>
        <w:t xml:space="preserve"> הנתבעת פנתה לעו"ד מטעמה על מנת להחזיר את א</w:t>
      </w:r>
      <w:r w:rsidR="0083030A">
        <w:rPr>
          <w:rFonts w:ascii="Arial" w:hAnsi="Arial" w:hint="cs"/>
          <w:noProof w:val="0"/>
          <w:rtl/>
        </w:rPr>
        <w:t xml:space="preserve">.ל' </w:t>
      </w:r>
      <w:r w:rsidR="00CB74A7">
        <w:rPr>
          <w:rFonts w:ascii="Arial" w:hAnsi="Arial" w:hint="cs"/>
          <w:noProof w:val="0"/>
          <w:rtl/>
        </w:rPr>
        <w:t xml:space="preserve">לחזקתה. התובע הסכים לנהל מו"מ, ואולם, עקב פגרת חג המולד, נדחתה הפגישה. </w:t>
      </w:r>
    </w:p>
    <w:p w:rsidR="00CB74A7" w:rsidRPr="00CB74A7" w:rsidRDefault="00CB74A7" w:rsidP="00CB74A7">
      <w:pPr>
        <w:pStyle w:val="ad"/>
        <w:rPr>
          <w:rFonts w:ascii="Arial" w:hAnsi="Arial"/>
          <w:noProof w:val="0"/>
          <w:rtl/>
        </w:rPr>
      </w:pPr>
    </w:p>
    <w:p w:rsidR="009B1463" w:rsidRDefault="00CB74A7" w:rsidP="0083030A">
      <w:pPr>
        <w:pStyle w:val="ad"/>
        <w:numPr>
          <w:ilvl w:val="0"/>
          <w:numId w:val="1"/>
        </w:numPr>
        <w:spacing w:line="360" w:lineRule="auto"/>
        <w:jc w:val="both"/>
        <w:rPr>
          <w:rFonts w:ascii="Arial" w:hAnsi="Arial"/>
          <w:noProof w:val="0"/>
        </w:rPr>
      </w:pPr>
      <w:r>
        <w:rPr>
          <w:rFonts w:ascii="Arial" w:hAnsi="Arial" w:hint="cs"/>
          <w:noProof w:val="0"/>
          <w:rtl/>
        </w:rPr>
        <w:t>ביום 4/1/24 שלחה הנתבעת לתו</w:t>
      </w:r>
      <w:r w:rsidR="009B1463">
        <w:rPr>
          <w:rFonts w:ascii="Arial" w:hAnsi="Arial" w:hint="cs"/>
          <w:noProof w:val="0"/>
          <w:rtl/>
        </w:rPr>
        <w:t>בע ה</w:t>
      </w:r>
      <w:r>
        <w:rPr>
          <w:rFonts w:ascii="Arial" w:hAnsi="Arial" w:hint="cs"/>
          <w:noProof w:val="0"/>
          <w:rtl/>
        </w:rPr>
        <w:t>ודעה נוספת</w:t>
      </w:r>
      <w:r w:rsidR="009B1463">
        <w:rPr>
          <w:rFonts w:ascii="Arial" w:hAnsi="Arial" w:hint="cs"/>
          <w:noProof w:val="0"/>
          <w:rtl/>
        </w:rPr>
        <w:t xml:space="preserve"> ובה הודיעה על כוונתה להעתיק את מקום מגורי הקטינים לישראל זאת ביום 15/1/24.  ביום 6/1/24 הגיע א</w:t>
      </w:r>
      <w:r w:rsidR="0083030A">
        <w:rPr>
          <w:rFonts w:ascii="Arial" w:hAnsi="Arial" w:hint="cs"/>
          <w:noProof w:val="0"/>
          <w:rtl/>
        </w:rPr>
        <w:t>.ל'</w:t>
      </w:r>
      <w:r w:rsidR="009B1463">
        <w:rPr>
          <w:rFonts w:ascii="Arial" w:hAnsi="Arial" w:hint="cs"/>
          <w:noProof w:val="0"/>
          <w:rtl/>
        </w:rPr>
        <w:t xml:space="preserve"> פעם נוספת לביתו של התובע לאחר מריבה עם הנתבעת.</w:t>
      </w:r>
    </w:p>
    <w:p w:rsidR="009B1463" w:rsidRPr="009B1463" w:rsidRDefault="009B1463" w:rsidP="009B1463">
      <w:pPr>
        <w:pStyle w:val="ad"/>
        <w:rPr>
          <w:rFonts w:ascii="Arial" w:hAnsi="Arial"/>
          <w:noProof w:val="0"/>
          <w:rtl/>
        </w:rPr>
      </w:pPr>
    </w:p>
    <w:p w:rsidR="009F79D1" w:rsidRDefault="009B1463" w:rsidP="0083030A">
      <w:pPr>
        <w:pStyle w:val="ad"/>
        <w:numPr>
          <w:ilvl w:val="0"/>
          <w:numId w:val="1"/>
        </w:numPr>
        <w:spacing w:line="360" w:lineRule="auto"/>
        <w:jc w:val="both"/>
        <w:rPr>
          <w:rFonts w:ascii="Arial" w:hAnsi="Arial"/>
          <w:noProof w:val="0"/>
        </w:rPr>
      </w:pPr>
      <w:r>
        <w:rPr>
          <w:rFonts w:ascii="Arial" w:hAnsi="Arial" w:hint="cs"/>
          <w:noProof w:val="0"/>
          <w:rtl/>
        </w:rPr>
        <w:t xml:space="preserve">ביום 7/1/24 </w:t>
      </w:r>
      <w:r w:rsidR="00276875">
        <w:rPr>
          <w:rFonts w:ascii="Arial" w:hAnsi="Arial" w:hint="cs"/>
          <w:noProof w:val="0"/>
          <w:rtl/>
        </w:rPr>
        <w:t xml:space="preserve">נטלה </w:t>
      </w:r>
      <w:r>
        <w:rPr>
          <w:rFonts w:ascii="Arial" w:hAnsi="Arial" w:hint="cs"/>
          <w:noProof w:val="0"/>
          <w:rtl/>
        </w:rPr>
        <w:t>הנתבעת שניים מהילדים, א</w:t>
      </w:r>
      <w:r w:rsidR="0083030A">
        <w:rPr>
          <w:rFonts w:ascii="Arial" w:hAnsi="Arial" w:hint="cs"/>
          <w:noProof w:val="0"/>
          <w:rtl/>
        </w:rPr>
        <w:t>'</w:t>
      </w:r>
      <w:r>
        <w:rPr>
          <w:rFonts w:ascii="Arial" w:hAnsi="Arial" w:hint="cs"/>
          <w:noProof w:val="0"/>
          <w:rtl/>
        </w:rPr>
        <w:t xml:space="preserve"> ופ</w:t>
      </w:r>
      <w:r w:rsidR="0083030A">
        <w:rPr>
          <w:rFonts w:ascii="Arial" w:hAnsi="Arial" w:hint="cs"/>
          <w:noProof w:val="0"/>
          <w:rtl/>
        </w:rPr>
        <w:t>'</w:t>
      </w:r>
      <w:r>
        <w:rPr>
          <w:rFonts w:ascii="Arial" w:hAnsi="Arial" w:hint="cs"/>
          <w:noProof w:val="0"/>
          <w:rtl/>
        </w:rPr>
        <w:t xml:space="preserve">, וטסה עמם לישראל, זאת כאשר היא מקדימה את הטיסה שהיתה אמורה להיות ביום 15/1/24, ומבלי ליידע את התובע, ומתוך ידיעה כי לצדדים קבועה פגישת גישור ביום 11/1/24. </w:t>
      </w:r>
      <w:r w:rsidR="00CB74A7">
        <w:rPr>
          <w:rFonts w:ascii="Arial" w:hAnsi="Arial" w:hint="cs"/>
          <w:noProof w:val="0"/>
          <w:rtl/>
        </w:rPr>
        <w:t xml:space="preserve"> </w:t>
      </w:r>
      <w:r w:rsidR="009F79D1">
        <w:rPr>
          <w:rFonts w:ascii="Arial" w:hAnsi="Arial" w:hint="cs"/>
          <w:noProof w:val="0"/>
          <w:rtl/>
        </w:rPr>
        <w:t xml:space="preserve"> </w:t>
      </w:r>
    </w:p>
    <w:p w:rsidR="009F79D1" w:rsidRPr="009F79D1" w:rsidRDefault="009F79D1" w:rsidP="009F79D1">
      <w:pPr>
        <w:pStyle w:val="ad"/>
        <w:rPr>
          <w:rFonts w:ascii="Arial" w:hAnsi="Arial"/>
          <w:noProof w:val="0"/>
          <w:rtl/>
        </w:rPr>
      </w:pPr>
    </w:p>
    <w:p w:rsidR="00CD21E0" w:rsidRDefault="00CD21E0" w:rsidP="004C4F98">
      <w:pPr>
        <w:pStyle w:val="ad"/>
        <w:numPr>
          <w:ilvl w:val="0"/>
          <w:numId w:val="1"/>
        </w:numPr>
        <w:spacing w:line="360" w:lineRule="auto"/>
        <w:jc w:val="both"/>
        <w:rPr>
          <w:rFonts w:ascii="Arial" w:hAnsi="Arial"/>
          <w:noProof w:val="0"/>
        </w:rPr>
      </w:pPr>
      <w:r>
        <w:rPr>
          <w:rFonts w:ascii="Arial" w:hAnsi="Arial" w:hint="cs"/>
          <w:noProof w:val="0"/>
          <w:rtl/>
        </w:rPr>
        <w:lastRenderedPageBreak/>
        <w:t xml:space="preserve"> </w:t>
      </w:r>
      <w:r w:rsidR="004C4F98">
        <w:rPr>
          <w:rFonts w:ascii="Arial" w:hAnsi="Arial" w:hint="cs"/>
          <w:noProof w:val="0"/>
          <w:rtl/>
        </w:rPr>
        <w:t xml:space="preserve">לתובע משרה קבועה ונוחה באוסטרליה, המאפשרת לו לטפל בקטינים, וכך גם לנתבעת. לתובע אין עורף משפחתי בישראל, ואחותו היחידה מתגוררת בקיבוץ כפר גלעדי, ופונתה מביתה עקב המלחמה.  </w:t>
      </w:r>
    </w:p>
    <w:p w:rsidR="009B1463" w:rsidRPr="009B1463" w:rsidRDefault="009B1463" w:rsidP="009B1463">
      <w:pPr>
        <w:pStyle w:val="ad"/>
        <w:rPr>
          <w:rFonts w:ascii="Arial" w:hAnsi="Arial"/>
          <w:noProof w:val="0"/>
          <w:rtl/>
        </w:rPr>
      </w:pPr>
    </w:p>
    <w:p w:rsidR="009B1463" w:rsidRDefault="009B1463" w:rsidP="0083030A">
      <w:pPr>
        <w:pStyle w:val="ad"/>
        <w:numPr>
          <w:ilvl w:val="0"/>
          <w:numId w:val="1"/>
        </w:numPr>
        <w:spacing w:line="360" w:lineRule="auto"/>
        <w:jc w:val="both"/>
        <w:rPr>
          <w:rFonts w:ascii="Arial" w:hAnsi="Arial"/>
          <w:noProof w:val="0"/>
        </w:rPr>
      </w:pPr>
      <w:r>
        <w:rPr>
          <w:rFonts w:ascii="Arial" w:hAnsi="Arial" w:hint="cs"/>
          <w:noProof w:val="0"/>
          <w:rtl/>
        </w:rPr>
        <w:t>הנתבעת עברה לישראל ללא הסכמת התובע, ובניגוד לטובת הקטינים, תוך ניתוקם מאחיהם א</w:t>
      </w:r>
      <w:r w:rsidR="0083030A">
        <w:rPr>
          <w:rFonts w:ascii="Arial" w:hAnsi="Arial" w:hint="cs"/>
          <w:noProof w:val="0"/>
          <w:rtl/>
        </w:rPr>
        <w:t>.ל'</w:t>
      </w:r>
      <w:r>
        <w:rPr>
          <w:rFonts w:ascii="Arial" w:hAnsi="Arial" w:hint="cs"/>
          <w:noProof w:val="0"/>
          <w:rtl/>
        </w:rPr>
        <w:t xml:space="preserve"> [אחיו התאום של </w:t>
      </w:r>
      <w:r w:rsidR="0083030A">
        <w:rPr>
          <w:rFonts w:ascii="Arial" w:hAnsi="Arial" w:hint="cs"/>
          <w:noProof w:val="0"/>
          <w:rtl/>
        </w:rPr>
        <w:t>א'</w:t>
      </w:r>
      <w:r>
        <w:rPr>
          <w:rFonts w:ascii="Arial" w:hAnsi="Arial" w:hint="cs"/>
          <w:noProof w:val="0"/>
          <w:rtl/>
        </w:rPr>
        <w:t xml:space="preserve">]. </w:t>
      </w:r>
      <w:r w:rsidR="00C1090C">
        <w:rPr>
          <w:rFonts w:ascii="Arial" w:hAnsi="Arial" w:hint="cs"/>
          <w:noProof w:val="0"/>
          <w:rtl/>
        </w:rPr>
        <w:t>הנתבעת איימה מספר פעמים בעבר כי תעבור עם הקטינים לישראל, אך לא מימשה את איומ</w:t>
      </w:r>
      <w:r w:rsidR="00276875">
        <w:rPr>
          <w:rFonts w:ascii="Arial" w:hAnsi="Arial" w:hint="cs"/>
          <w:noProof w:val="0"/>
          <w:rtl/>
        </w:rPr>
        <w:t>י</w:t>
      </w:r>
      <w:r w:rsidR="00C1090C">
        <w:rPr>
          <w:rFonts w:ascii="Arial" w:hAnsi="Arial" w:hint="cs"/>
          <w:noProof w:val="0"/>
          <w:rtl/>
        </w:rPr>
        <w:t xml:space="preserve">ה, ואלו סבבו תמיד סביב </w:t>
      </w:r>
      <w:r w:rsidR="0036507C">
        <w:rPr>
          <w:rFonts w:ascii="Arial" w:hAnsi="Arial" w:hint="cs"/>
          <w:noProof w:val="0"/>
          <w:rtl/>
        </w:rPr>
        <w:t>ניסיונו</w:t>
      </w:r>
      <w:r w:rsidR="0036507C">
        <w:rPr>
          <w:rFonts w:ascii="Arial" w:hAnsi="Arial" w:hint="eastAsia"/>
          <w:noProof w:val="0"/>
          <w:rtl/>
        </w:rPr>
        <w:t>ת</w:t>
      </w:r>
      <w:r w:rsidR="00C1090C">
        <w:rPr>
          <w:rFonts w:ascii="Arial" w:hAnsi="Arial" w:hint="cs"/>
          <w:noProof w:val="0"/>
          <w:rtl/>
        </w:rPr>
        <w:t xml:space="preserve"> הפעלת לחצים על התובע בעניין דרכי חינוך.  התובע נמנע לפתוח בהליכים משפטיים שכן סבר כי הנתבעת לא תממש את איומיה וניתן יהיה לפתור את המחלוקות בדרכי שלום, ובוודאי שלא לפצל בין הקטינים, בפרט התאומים. </w:t>
      </w:r>
    </w:p>
    <w:p w:rsidR="00C1090C" w:rsidRPr="00C1090C" w:rsidRDefault="00C1090C" w:rsidP="00C1090C">
      <w:pPr>
        <w:pStyle w:val="ad"/>
        <w:rPr>
          <w:rFonts w:ascii="Arial" w:hAnsi="Arial"/>
          <w:noProof w:val="0"/>
          <w:rtl/>
        </w:rPr>
      </w:pPr>
    </w:p>
    <w:p w:rsidR="00C1090C" w:rsidRDefault="00C1090C" w:rsidP="00CF7DA1">
      <w:pPr>
        <w:pStyle w:val="ad"/>
        <w:numPr>
          <w:ilvl w:val="0"/>
          <w:numId w:val="1"/>
        </w:numPr>
        <w:spacing w:line="360" w:lineRule="auto"/>
        <w:jc w:val="both"/>
        <w:rPr>
          <w:rFonts w:ascii="Arial" w:hAnsi="Arial"/>
          <w:noProof w:val="0"/>
        </w:rPr>
      </w:pPr>
      <w:r>
        <w:rPr>
          <w:rFonts w:ascii="Arial" w:hAnsi="Arial" w:hint="cs"/>
          <w:noProof w:val="0"/>
          <w:rtl/>
        </w:rPr>
        <w:t xml:space="preserve">לבן </w:t>
      </w:r>
      <w:r w:rsidR="00CF7DA1">
        <w:rPr>
          <w:rFonts w:ascii="Arial" w:hAnsi="Arial" w:hint="cs"/>
          <w:noProof w:val="0"/>
          <w:rtl/>
        </w:rPr>
        <w:t>א'</w:t>
      </w:r>
      <w:r>
        <w:rPr>
          <w:rFonts w:ascii="Arial" w:hAnsi="Arial" w:hint="cs"/>
          <w:noProof w:val="0"/>
          <w:rtl/>
        </w:rPr>
        <w:t xml:space="preserve"> הפרעת קשב וריכוז, </w:t>
      </w:r>
      <w:r w:rsidR="00270CFF">
        <w:rPr>
          <w:rFonts w:ascii="Arial" w:hAnsi="Arial" w:hint="cs"/>
          <w:noProof w:val="0"/>
          <w:rtl/>
        </w:rPr>
        <w:t>דיסלקציה</w:t>
      </w:r>
      <w:r w:rsidR="007C0FC5">
        <w:rPr>
          <w:rFonts w:ascii="Arial" w:hAnsi="Arial" w:hint="cs"/>
          <w:noProof w:val="0"/>
          <w:rtl/>
        </w:rPr>
        <w:t xml:space="preserve">, </w:t>
      </w:r>
      <w:r w:rsidR="00270CFF">
        <w:rPr>
          <w:rFonts w:ascii="Arial" w:hAnsi="Arial" w:hint="cs"/>
          <w:noProof w:val="0"/>
          <w:rtl/>
        </w:rPr>
        <w:t>הוא סובל מחרדות</w:t>
      </w:r>
      <w:r w:rsidR="00276875">
        <w:rPr>
          <w:rFonts w:ascii="Arial" w:hAnsi="Arial" w:hint="cs"/>
          <w:noProof w:val="0"/>
          <w:rtl/>
        </w:rPr>
        <w:t xml:space="preserve">, </w:t>
      </w:r>
      <w:r w:rsidR="00270CFF">
        <w:rPr>
          <w:rFonts w:ascii="Arial" w:hAnsi="Arial" w:hint="cs"/>
          <w:noProof w:val="0"/>
          <w:rtl/>
        </w:rPr>
        <w:t xml:space="preserve">קשיים בשליטה עצמית ובעיות התנהגות, בעיקר מול האם.  הבן </w:t>
      </w:r>
      <w:r w:rsidR="00CF7DA1">
        <w:rPr>
          <w:rFonts w:ascii="Arial" w:hAnsi="Arial" w:hint="cs"/>
          <w:noProof w:val="0"/>
          <w:rtl/>
        </w:rPr>
        <w:t>פ'</w:t>
      </w:r>
      <w:r w:rsidR="00270CFF">
        <w:rPr>
          <w:rFonts w:ascii="Arial" w:hAnsi="Arial" w:hint="cs"/>
          <w:noProof w:val="0"/>
          <w:rtl/>
        </w:rPr>
        <w:t xml:space="preserve"> אובחן כבעל הפרעת קשב וריכוז. בכתב התביעה, מתאר האב מספר רב של מקרים, אשר לטענתו, מוכיחים כי האם אינה </w:t>
      </w:r>
      <w:r w:rsidR="00276875">
        <w:rPr>
          <w:rFonts w:ascii="Arial" w:hAnsi="Arial" w:hint="cs"/>
          <w:noProof w:val="0"/>
          <w:rtl/>
        </w:rPr>
        <w:t xml:space="preserve">מסוגלת </w:t>
      </w:r>
      <w:r w:rsidR="00270CFF">
        <w:rPr>
          <w:rFonts w:ascii="Arial" w:hAnsi="Arial" w:hint="cs"/>
          <w:noProof w:val="0"/>
          <w:rtl/>
        </w:rPr>
        <w:t>לגדל את הילדים לבדה ככל ותעתיק את מקום המגורים לישראל.</w:t>
      </w:r>
    </w:p>
    <w:p w:rsidR="006C27E7" w:rsidRPr="006C27E7" w:rsidRDefault="006C27E7" w:rsidP="006C27E7">
      <w:pPr>
        <w:pStyle w:val="ad"/>
        <w:rPr>
          <w:rFonts w:ascii="Arial" w:hAnsi="Arial"/>
          <w:noProof w:val="0"/>
          <w:rtl/>
        </w:rPr>
      </w:pPr>
    </w:p>
    <w:p w:rsidR="006C27E7" w:rsidRDefault="006C27E7" w:rsidP="00CF7DA1">
      <w:pPr>
        <w:pStyle w:val="ad"/>
        <w:numPr>
          <w:ilvl w:val="0"/>
          <w:numId w:val="1"/>
        </w:numPr>
        <w:spacing w:line="360" w:lineRule="auto"/>
        <w:jc w:val="both"/>
        <w:rPr>
          <w:rFonts w:ascii="Arial" w:hAnsi="Arial"/>
          <w:noProof w:val="0"/>
        </w:rPr>
      </w:pPr>
      <w:r w:rsidRPr="00772EA0">
        <w:rPr>
          <w:rFonts w:ascii="Arial" w:hAnsi="Arial" w:hint="cs"/>
          <w:b/>
          <w:bCs/>
          <w:noProof w:val="0"/>
          <w:u w:val="single"/>
          <w:rtl/>
        </w:rPr>
        <w:t>בסיכומיו</w:t>
      </w:r>
      <w:r w:rsidR="001B6C33" w:rsidRPr="00772EA0">
        <w:rPr>
          <w:rFonts w:ascii="Arial" w:hAnsi="Arial" w:hint="cs"/>
          <w:b/>
          <w:bCs/>
          <w:noProof w:val="0"/>
          <w:u w:val="single"/>
          <w:rtl/>
        </w:rPr>
        <w:t xml:space="preserve"> [האוחזים 32 עמודים</w:t>
      </w:r>
      <w:r w:rsidR="00772EA0">
        <w:rPr>
          <w:rFonts w:ascii="Arial" w:hAnsi="Arial" w:hint="cs"/>
          <w:noProof w:val="0"/>
          <w:rtl/>
        </w:rPr>
        <w:t>]</w:t>
      </w:r>
      <w:r w:rsidR="004C3EA4">
        <w:rPr>
          <w:rFonts w:ascii="Arial" w:hAnsi="Arial" w:hint="cs"/>
          <w:noProof w:val="0"/>
          <w:rtl/>
        </w:rPr>
        <w:t xml:space="preserve"> -</w:t>
      </w:r>
      <w:r w:rsidR="001B6C33">
        <w:rPr>
          <w:rFonts w:ascii="Arial" w:hAnsi="Arial" w:hint="cs"/>
          <w:noProof w:val="0"/>
          <w:rtl/>
        </w:rPr>
        <w:t xml:space="preserve"> </w:t>
      </w:r>
      <w:r>
        <w:rPr>
          <w:rFonts w:ascii="Arial" w:hAnsi="Arial" w:hint="cs"/>
          <w:noProof w:val="0"/>
          <w:rtl/>
        </w:rPr>
        <w:t>חוזר התובע באופן כללי על טענותיו</w:t>
      </w:r>
      <w:r w:rsidR="00E579B1">
        <w:rPr>
          <w:rFonts w:ascii="Arial" w:hAnsi="Arial" w:hint="cs"/>
          <w:noProof w:val="0"/>
          <w:rtl/>
        </w:rPr>
        <w:t xml:space="preserve">, כולל פירוט כלל האירועים אשר התרחשו בשנים האחרונות, ומלמדים, כך לדבריו, על קשיים במסוגלותה ההורית של הנתבעת.  </w:t>
      </w:r>
      <w:r w:rsidR="001B6C33">
        <w:rPr>
          <w:rFonts w:ascii="Arial" w:hAnsi="Arial" w:hint="cs"/>
          <w:noProof w:val="0"/>
          <w:rtl/>
        </w:rPr>
        <w:t>לדבריו, האם הודיע</w:t>
      </w:r>
      <w:r w:rsidR="00E579B1">
        <w:rPr>
          <w:rFonts w:ascii="Arial" w:hAnsi="Arial" w:hint="cs"/>
          <w:noProof w:val="0"/>
          <w:rtl/>
        </w:rPr>
        <w:t>ה</w:t>
      </w:r>
      <w:r w:rsidR="001B6C33">
        <w:rPr>
          <w:rFonts w:ascii="Arial" w:hAnsi="Arial" w:hint="cs"/>
          <w:noProof w:val="0"/>
          <w:rtl/>
        </w:rPr>
        <w:t xml:space="preserve"> בעבר מספר פעמים על כוונתה </w:t>
      </w:r>
      <w:r w:rsidR="00E579B1">
        <w:rPr>
          <w:rFonts w:ascii="Arial" w:hAnsi="Arial" w:hint="cs"/>
          <w:noProof w:val="0"/>
          <w:rtl/>
        </w:rPr>
        <w:t xml:space="preserve">ורצונה </w:t>
      </w:r>
      <w:r w:rsidR="001B6C33">
        <w:rPr>
          <w:rFonts w:ascii="Arial" w:hAnsi="Arial" w:hint="cs"/>
          <w:noProof w:val="0"/>
          <w:rtl/>
        </w:rPr>
        <w:t xml:space="preserve">להעתיק מקום מגורי הקטינים לישראל וחזרה בה, ולפיכך, סבר כי גם כעת דובר על אמירות בעלמא וללא כוונה אמתית ורצינית.  התובע שב והפנה לעובדה כי האם נטלה שניים בלבד מתוך שלושת ילדי הצדדים, ועברה עמם לישראל, כאשר לא זו היתה כוונת הסכם הגירושין.  </w:t>
      </w:r>
      <w:r w:rsidR="007C33EE">
        <w:rPr>
          <w:rFonts w:ascii="Arial" w:hAnsi="Arial" w:hint="cs"/>
          <w:noProof w:val="0"/>
          <w:rtl/>
        </w:rPr>
        <w:t xml:space="preserve">התובע חזר וטען לשינוי נסיבות שחל מאז נחתם הסכם הגירושין, אשר מונע למעשה כיום מהנתבעת להתבסס על הוראותיו. </w:t>
      </w:r>
      <w:r w:rsidR="004C3EA4">
        <w:rPr>
          <w:rFonts w:ascii="Arial" w:hAnsi="Arial" w:hint="cs"/>
          <w:noProof w:val="0"/>
          <w:rtl/>
        </w:rPr>
        <w:t>התובע הפנה לחקירת הנתבעת, אשר ממנה עולה, כך לדבריו, כי הנתבעת עשתה שימוש ברצונו למנוע הליכים משפטיים, ולמעשה "הרדימה" אותו, תוך שבמקביל פעלה לצורך הסדרת הנסיעה לישראל בניגוד למוסכם. התובע הפנה לקשר המורכב של הנתבעת עם הבן א</w:t>
      </w:r>
      <w:r w:rsidR="00CF7DA1">
        <w:rPr>
          <w:rFonts w:ascii="Arial" w:hAnsi="Arial" w:hint="cs"/>
          <w:noProof w:val="0"/>
          <w:rtl/>
        </w:rPr>
        <w:t>'</w:t>
      </w:r>
      <w:r w:rsidR="004C3EA4">
        <w:rPr>
          <w:rFonts w:ascii="Arial" w:hAnsi="Arial" w:hint="cs"/>
          <w:noProof w:val="0"/>
          <w:rtl/>
        </w:rPr>
        <w:t xml:space="preserve">.  התובע מתייחס בסיכומיו לחריגי ההסכמה וההשלמה, וטוען כי אלו לא התקיימו. </w:t>
      </w:r>
      <w:r w:rsidR="00A862DC">
        <w:rPr>
          <w:rFonts w:ascii="Arial" w:hAnsi="Arial" w:hint="cs"/>
          <w:noProof w:val="0"/>
          <w:rtl/>
        </w:rPr>
        <w:t xml:space="preserve">כך גם ביחס לטענת השיהוי. </w:t>
      </w:r>
      <w:r w:rsidR="00EF7771">
        <w:rPr>
          <w:rFonts w:ascii="Arial" w:hAnsi="Arial" w:hint="cs"/>
          <w:noProof w:val="0"/>
          <w:rtl/>
        </w:rPr>
        <w:t xml:space="preserve"> התובע מפנה לפסק הדין שניתן באוסטרליה ביום 12/2/24, שם נקבע כי עצם הפרדת הקטינים זה מזה, מהווה שינוי נסיבות המצדיק התערבות בית המשפט בהוראות ההסכם.  התובע מוסיף וטוען כי פרשנות הסכם הגירושין מביאה למסקנה לפיה הצדדים לא התכוונו למתן אפשרות לנתבעת להפריד בין האחים, לקחת עמה רק שניים מהם, ולנטוש את השלישי, כפי שעשתה. </w:t>
      </w:r>
      <w:r w:rsidR="004C3EA4">
        <w:rPr>
          <w:rFonts w:ascii="Arial" w:hAnsi="Arial" w:hint="cs"/>
          <w:noProof w:val="0"/>
          <w:rtl/>
        </w:rPr>
        <w:t xml:space="preserve"> </w:t>
      </w:r>
      <w:r w:rsidR="00EF7771">
        <w:rPr>
          <w:rFonts w:ascii="Arial" w:hAnsi="Arial" w:hint="cs"/>
          <w:noProof w:val="0"/>
          <w:rtl/>
        </w:rPr>
        <w:t xml:space="preserve">התובע מפנה לחוו"ד המומחה, ממנה עולה כי אין כל חשש להשבת הילדים לאוסטרליה, והוא אינו מהווה עבורם כל סיכון. </w:t>
      </w:r>
    </w:p>
    <w:p w:rsidR="00270CFF" w:rsidRDefault="00270CFF" w:rsidP="00270CFF">
      <w:pPr>
        <w:pStyle w:val="ad"/>
        <w:rPr>
          <w:rFonts w:ascii="Arial" w:hAnsi="Arial"/>
          <w:noProof w:val="0"/>
          <w:rtl/>
        </w:rPr>
      </w:pPr>
    </w:p>
    <w:p w:rsidR="00BC4B95" w:rsidRPr="00270CFF" w:rsidRDefault="00BC4B95" w:rsidP="00270CFF">
      <w:pPr>
        <w:pStyle w:val="ad"/>
        <w:rPr>
          <w:rFonts w:ascii="Arial" w:hAnsi="Arial"/>
          <w:noProof w:val="0"/>
          <w:rtl/>
        </w:rPr>
      </w:pPr>
    </w:p>
    <w:p w:rsidR="00270CFF" w:rsidRPr="00BC4B95" w:rsidRDefault="00BC4B95" w:rsidP="00270CFF">
      <w:pPr>
        <w:spacing w:line="360" w:lineRule="auto"/>
        <w:jc w:val="both"/>
        <w:rPr>
          <w:rFonts w:ascii="Arial" w:hAnsi="Arial"/>
          <w:b/>
          <w:bCs/>
          <w:noProof w:val="0"/>
          <w:u w:val="single"/>
        </w:rPr>
      </w:pPr>
      <w:r w:rsidRPr="00BC4B95">
        <w:rPr>
          <w:rFonts w:ascii="Arial" w:hAnsi="Arial" w:hint="cs"/>
          <w:b/>
          <w:bCs/>
          <w:noProof w:val="0"/>
          <w:u w:val="single"/>
          <w:rtl/>
        </w:rPr>
        <w:lastRenderedPageBreak/>
        <w:t>תמצית טענות הנתבעת:</w:t>
      </w:r>
    </w:p>
    <w:p w:rsidR="00F9052F" w:rsidRPr="00F9052F" w:rsidRDefault="00F9052F" w:rsidP="00F9052F">
      <w:pPr>
        <w:pStyle w:val="ad"/>
        <w:rPr>
          <w:rFonts w:ascii="Arial" w:hAnsi="Arial"/>
          <w:noProof w:val="0"/>
          <w:rtl/>
        </w:rPr>
      </w:pPr>
    </w:p>
    <w:p w:rsidR="00BC4B95" w:rsidRDefault="00BC4B95" w:rsidP="00BC4B95">
      <w:pPr>
        <w:pStyle w:val="ad"/>
        <w:numPr>
          <w:ilvl w:val="0"/>
          <w:numId w:val="1"/>
        </w:numPr>
        <w:spacing w:line="360" w:lineRule="auto"/>
        <w:jc w:val="both"/>
        <w:rPr>
          <w:rFonts w:ascii="Arial" w:hAnsi="Arial"/>
          <w:noProof w:val="0"/>
        </w:rPr>
      </w:pPr>
      <w:r>
        <w:rPr>
          <w:rFonts w:ascii="Arial" w:hAnsi="Arial" w:hint="cs"/>
          <w:noProof w:val="0"/>
          <w:rtl/>
        </w:rPr>
        <w:t xml:space="preserve">הנתבעת מפנה להוראות הסכם הגירושין שנחתם בין הצדדים, וקיבל תוקף של פסק דין. לדבריה, המעבר לישראל בוצע בהתאם להוראות ההסכם, כאשר התובע מכיר בתקפו החוקי המחייב של ההסכם.  בידי התובע היתה שהות מספקת לפנות לבית המשפט באוסטרליה על מנת לעתור לביטול ההסכם או שינוי תנאיו והוא לא עשה כן.  </w:t>
      </w:r>
    </w:p>
    <w:p w:rsidR="00BC4B95" w:rsidRDefault="00BC4B95" w:rsidP="00BC4B95">
      <w:pPr>
        <w:pStyle w:val="ad"/>
        <w:spacing w:line="360" w:lineRule="auto"/>
        <w:jc w:val="both"/>
        <w:rPr>
          <w:rFonts w:ascii="Arial" w:hAnsi="Arial"/>
          <w:noProof w:val="0"/>
        </w:rPr>
      </w:pPr>
    </w:p>
    <w:p w:rsidR="00BC4B95" w:rsidRDefault="00BC4B95" w:rsidP="00BC4B95">
      <w:pPr>
        <w:pStyle w:val="ad"/>
        <w:numPr>
          <w:ilvl w:val="0"/>
          <w:numId w:val="1"/>
        </w:numPr>
        <w:spacing w:line="360" w:lineRule="auto"/>
        <w:jc w:val="both"/>
        <w:rPr>
          <w:rFonts w:ascii="Arial" w:hAnsi="Arial"/>
          <w:noProof w:val="0"/>
        </w:rPr>
      </w:pPr>
      <w:r w:rsidRPr="00BC4B95">
        <w:rPr>
          <w:rFonts w:ascii="Arial" w:hAnsi="Arial" w:hint="cs"/>
          <w:noProof w:val="0"/>
          <w:rtl/>
        </w:rPr>
        <w:t xml:space="preserve">התובע מודה כי </w:t>
      </w:r>
      <w:r>
        <w:rPr>
          <w:rFonts w:ascii="Arial" w:hAnsi="Arial" w:hint="cs"/>
          <w:noProof w:val="0"/>
          <w:rtl/>
        </w:rPr>
        <w:t>כבר ביום 4/10/23 שלחה לו הנתבעת הודעה על כוונתה להעתיק את מקום מגורי הקטינים לישראל, תוך צירוף כרטיס טיסה ליום 15/1/24.  אילו אכן סבר התובע כי מדובר במהלך בלתי חוקי או בחטיפת ילדים, מדוע לא פנה לבית המשפט וביקש לעכב את יציאתם של הקטינים</w:t>
      </w:r>
      <w:r w:rsidR="005E7BD0">
        <w:rPr>
          <w:rFonts w:ascii="Arial" w:hAnsi="Arial" w:hint="cs"/>
          <w:noProof w:val="0"/>
          <w:rtl/>
        </w:rPr>
        <w:t xml:space="preserve">.  </w:t>
      </w:r>
    </w:p>
    <w:p w:rsidR="005E7BD0" w:rsidRPr="005E7BD0" w:rsidRDefault="005E7BD0" w:rsidP="005E7BD0">
      <w:pPr>
        <w:pStyle w:val="ad"/>
        <w:rPr>
          <w:rFonts w:ascii="Arial" w:hAnsi="Arial"/>
          <w:noProof w:val="0"/>
          <w:rtl/>
        </w:rPr>
      </w:pPr>
    </w:p>
    <w:p w:rsidR="005E7BD0" w:rsidRDefault="005E7BD0" w:rsidP="00BC4B95">
      <w:pPr>
        <w:pStyle w:val="ad"/>
        <w:numPr>
          <w:ilvl w:val="0"/>
          <w:numId w:val="1"/>
        </w:numPr>
        <w:spacing w:line="360" w:lineRule="auto"/>
        <w:jc w:val="both"/>
        <w:rPr>
          <w:rFonts w:ascii="Arial" w:hAnsi="Arial"/>
          <w:noProof w:val="0"/>
        </w:rPr>
      </w:pPr>
      <w:r>
        <w:rPr>
          <w:rFonts w:ascii="Arial" w:hAnsi="Arial" w:hint="cs"/>
          <w:noProof w:val="0"/>
          <w:rtl/>
        </w:rPr>
        <w:t>לדבריה, התובע המתין למעלה מ- 3 חודשים בחוסר מעש, המתין עד לאחר שהקטינים עלו על טיסה לישראל, ורק לאחר למעלה מ- 5 חודשים תמימים הגיש תובענה וטען לחטיפה, מהלך עליו ידע כבר מיום 4/10/23.</w:t>
      </w:r>
    </w:p>
    <w:p w:rsidR="005E7BD0" w:rsidRPr="005E7BD0" w:rsidRDefault="005E7BD0" w:rsidP="005E7BD0">
      <w:pPr>
        <w:pStyle w:val="ad"/>
        <w:rPr>
          <w:rFonts w:ascii="Arial" w:hAnsi="Arial"/>
          <w:noProof w:val="0"/>
          <w:rtl/>
        </w:rPr>
      </w:pPr>
    </w:p>
    <w:p w:rsidR="004617D6" w:rsidRDefault="004617D6" w:rsidP="00BC4B95">
      <w:pPr>
        <w:pStyle w:val="ad"/>
        <w:numPr>
          <w:ilvl w:val="0"/>
          <w:numId w:val="1"/>
        </w:numPr>
        <w:spacing w:line="360" w:lineRule="auto"/>
        <w:jc w:val="both"/>
        <w:rPr>
          <w:rFonts w:ascii="Arial" w:hAnsi="Arial"/>
          <w:noProof w:val="0"/>
        </w:rPr>
      </w:pPr>
      <w:r>
        <w:rPr>
          <w:rFonts w:ascii="Arial" w:hAnsi="Arial" w:hint="cs"/>
          <w:noProof w:val="0"/>
          <w:rtl/>
        </w:rPr>
        <w:t>זאת ועוד, הנתבעת מפנה לעובדה כי ביום 24/2/24, התובע נתן את אישורו לרישום הקטינים בבית ספר בזיכרון יעקב, והוא אף פנה ישירות למסגרת, לדבריו, על מנת למנוע עיכוב ברישום ותחילת הלימודים, תוך צירוף פרטי התקשרות עמו. האישור לרישום הקטינים למסגרת החינוכית אינו מוגבל בזמן כלשהו.</w:t>
      </w:r>
    </w:p>
    <w:p w:rsidR="004617D6" w:rsidRPr="004617D6" w:rsidRDefault="004617D6" w:rsidP="004617D6">
      <w:pPr>
        <w:pStyle w:val="ad"/>
        <w:rPr>
          <w:rFonts w:ascii="Arial" w:hAnsi="Arial"/>
          <w:noProof w:val="0"/>
          <w:rtl/>
        </w:rPr>
      </w:pPr>
    </w:p>
    <w:p w:rsidR="00DB5FEB" w:rsidRDefault="004617D6" w:rsidP="00CF7DA1">
      <w:pPr>
        <w:pStyle w:val="ad"/>
        <w:numPr>
          <w:ilvl w:val="0"/>
          <w:numId w:val="1"/>
        </w:numPr>
        <w:spacing w:line="360" w:lineRule="auto"/>
        <w:jc w:val="both"/>
        <w:rPr>
          <w:rFonts w:ascii="Arial" w:hAnsi="Arial"/>
          <w:noProof w:val="0"/>
        </w:rPr>
      </w:pPr>
      <w:r>
        <w:rPr>
          <w:rFonts w:ascii="Arial" w:hAnsi="Arial" w:hint="cs"/>
          <w:noProof w:val="0"/>
          <w:rtl/>
        </w:rPr>
        <w:t>התובע אינו מגלה כי בתקופת הביניים ניתן בבימ"ש באוסטרליה פסק דין, אשר קבע כי מגורי הקבע של הקטינים היום הוא בישראל [ס</w:t>
      </w:r>
      <w:r w:rsidR="00DB5FEB">
        <w:rPr>
          <w:rFonts w:ascii="Arial" w:hAnsi="Arial" w:hint="cs"/>
          <w:noProof w:val="0"/>
          <w:rtl/>
        </w:rPr>
        <w:t>' 28 לפסק הדין מיום 13/2/24].  באותו פסק דין נקבע כי הנתבעת פעלה בהתאם להוראות ס' 32 להסכם הגירושין, ואף נקבע כי התובע הוא זה שמחזיק שלא כדין בקטין א</w:t>
      </w:r>
      <w:r w:rsidR="00CF7DA1">
        <w:rPr>
          <w:rFonts w:ascii="Arial" w:hAnsi="Arial" w:hint="cs"/>
          <w:noProof w:val="0"/>
          <w:rtl/>
        </w:rPr>
        <w:t>.ל'</w:t>
      </w:r>
      <w:r w:rsidR="00DB5FEB">
        <w:rPr>
          <w:rFonts w:ascii="Arial" w:hAnsi="Arial" w:hint="cs"/>
          <w:noProof w:val="0"/>
          <w:rtl/>
        </w:rPr>
        <w:t>.</w:t>
      </w:r>
    </w:p>
    <w:p w:rsidR="00DB5FEB" w:rsidRPr="00DB5FEB" w:rsidRDefault="00DB5FEB" w:rsidP="00DB5FEB">
      <w:pPr>
        <w:pStyle w:val="ad"/>
        <w:rPr>
          <w:rFonts w:ascii="Arial" w:hAnsi="Arial"/>
          <w:noProof w:val="0"/>
          <w:rtl/>
        </w:rPr>
      </w:pPr>
    </w:p>
    <w:p w:rsidR="005E7BD0" w:rsidRDefault="00DB5FEB" w:rsidP="00BC4B95">
      <w:pPr>
        <w:pStyle w:val="ad"/>
        <w:numPr>
          <w:ilvl w:val="0"/>
          <w:numId w:val="1"/>
        </w:numPr>
        <w:spacing w:line="360" w:lineRule="auto"/>
        <w:jc w:val="both"/>
        <w:rPr>
          <w:rFonts w:ascii="Arial" w:hAnsi="Arial"/>
          <w:noProof w:val="0"/>
        </w:rPr>
      </w:pPr>
      <w:r>
        <w:rPr>
          <w:rFonts w:ascii="Arial" w:hAnsi="Arial" w:hint="cs"/>
          <w:noProof w:val="0"/>
          <w:rtl/>
        </w:rPr>
        <w:t>לדבריה הנתבעת יש להורות על מחיקת התביעה על הסף תוך חיוב בהוצאות.  התביעה הוגשה בניגוד  לתכלית החוק שהנה השבתם המידית של ילדים שהורחקו שלא כדין למדינה החתומה על האמנה. אלה שבמ</w:t>
      </w:r>
      <w:r w:rsidR="005D6CDD">
        <w:rPr>
          <w:rFonts w:ascii="Arial" w:hAnsi="Arial" w:hint="cs"/>
          <w:noProof w:val="0"/>
          <w:rtl/>
        </w:rPr>
        <w:t>קרה זה, לא בוצעה הרחקה שלא כדין</w:t>
      </w:r>
      <w:r>
        <w:rPr>
          <w:rFonts w:ascii="Arial" w:hAnsi="Arial" w:hint="cs"/>
          <w:noProof w:val="0"/>
          <w:rtl/>
        </w:rPr>
        <w:t xml:space="preserve"> ולא הופרו זכויות המשמורת, שכן כלל פעולותיה של הנתבעת נעשו בהתאם להוראות הסכם שריר תקף ומחייב שאף קיבל תוקף של פסק דין. </w:t>
      </w:r>
    </w:p>
    <w:p w:rsidR="00DB5FEB" w:rsidRPr="00DB5FEB" w:rsidRDefault="00DB5FEB" w:rsidP="00DB5FEB">
      <w:pPr>
        <w:pStyle w:val="ad"/>
        <w:rPr>
          <w:rFonts w:ascii="Arial" w:hAnsi="Arial"/>
          <w:noProof w:val="0"/>
          <w:rtl/>
        </w:rPr>
      </w:pPr>
    </w:p>
    <w:p w:rsidR="00DB5FEB" w:rsidRDefault="00DB5FEB" w:rsidP="00BC4B95">
      <w:pPr>
        <w:pStyle w:val="ad"/>
        <w:numPr>
          <w:ilvl w:val="0"/>
          <w:numId w:val="1"/>
        </w:numPr>
        <w:spacing w:line="360" w:lineRule="auto"/>
        <w:jc w:val="both"/>
        <w:rPr>
          <w:rFonts w:ascii="Arial" w:hAnsi="Arial"/>
          <w:noProof w:val="0"/>
        </w:rPr>
      </w:pPr>
      <w:r>
        <w:rPr>
          <w:rFonts w:ascii="Arial" w:hAnsi="Arial" w:hint="cs"/>
          <w:noProof w:val="0"/>
          <w:rtl/>
        </w:rPr>
        <w:t>הנתבעת עברה עם הק</w:t>
      </w:r>
      <w:r w:rsidR="00CA07DC">
        <w:rPr>
          <w:rFonts w:ascii="Arial" w:hAnsi="Arial" w:hint="cs"/>
          <w:noProof w:val="0"/>
          <w:rtl/>
        </w:rPr>
        <w:t xml:space="preserve">טינים לישראל ביום 7/1/24 היינו מעל 90 יום מיום מתן ההודעה אשר נשלחה ביום 4/10/23.  </w:t>
      </w:r>
    </w:p>
    <w:p w:rsidR="00AE546C" w:rsidRPr="00AE546C" w:rsidRDefault="00AE546C" w:rsidP="00AE546C">
      <w:pPr>
        <w:pStyle w:val="ad"/>
        <w:rPr>
          <w:rFonts w:ascii="Arial" w:hAnsi="Arial"/>
          <w:noProof w:val="0"/>
          <w:rtl/>
        </w:rPr>
      </w:pPr>
    </w:p>
    <w:p w:rsidR="00AE546C" w:rsidRPr="00BD3E50" w:rsidRDefault="00AE546C" w:rsidP="00CF7DA1">
      <w:pPr>
        <w:pStyle w:val="ad"/>
        <w:numPr>
          <w:ilvl w:val="0"/>
          <w:numId w:val="1"/>
        </w:numPr>
        <w:spacing w:line="360" w:lineRule="auto"/>
        <w:jc w:val="both"/>
        <w:rPr>
          <w:rFonts w:ascii="Arial" w:hAnsi="Arial"/>
          <w:noProof w:val="0"/>
        </w:rPr>
      </w:pPr>
      <w:r w:rsidRPr="00AE546C">
        <w:rPr>
          <w:rFonts w:ascii="Arial" w:hAnsi="Arial" w:hint="cs"/>
          <w:b/>
          <w:bCs/>
          <w:noProof w:val="0"/>
          <w:u w:val="single"/>
          <w:rtl/>
        </w:rPr>
        <w:lastRenderedPageBreak/>
        <w:t>בסיכומיה [האוחזים 37 עמודים]</w:t>
      </w:r>
      <w:r>
        <w:rPr>
          <w:rFonts w:ascii="Arial" w:hAnsi="Arial" w:hint="cs"/>
          <w:noProof w:val="0"/>
          <w:rtl/>
        </w:rPr>
        <w:t xml:space="preserve"> </w:t>
      </w:r>
      <w:r w:rsidR="00C50288">
        <w:rPr>
          <w:rFonts w:ascii="Arial" w:hAnsi="Arial"/>
          <w:noProof w:val="0"/>
          <w:rtl/>
        </w:rPr>
        <w:t>–</w:t>
      </w:r>
      <w:r>
        <w:rPr>
          <w:rFonts w:ascii="Arial" w:hAnsi="Arial" w:hint="cs"/>
          <w:noProof w:val="0"/>
          <w:rtl/>
        </w:rPr>
        <w:t xml:space="preserve"> </w:t>
      </w:r>
      <w:r w:rsidR="00C50288">
        <w:rPr>
          <w:rFonts w:ascii="Arial" w:hAnsi="Arial" w:hint="cs"/>
          <w:noProof w:val="0"/>
          <w:rtl/>
        </w:rPr>
        <w:t xml:space="preserve">חוזרת הנתבעת על טענותיה באופן כללי. לדבריה, התובע מנסה להפוך את היוצרות, לשנות את הוראות הסכם הגירושין ואת מקום מגורי הקטינים, והכל תוך שימוש בהוראות חוק אמנת האג. </w:t>
      </w:r>
      <w:r w:rsidR="00AC43B3">
        <w:rPr>
          <w:rFonts w:ascii="Arial" w:hAnsi="Arial" w:hint="cs"/>
          <w:noProof w:val="0"/>
          <w:rtl/>
        </w:rPr>
        <w:t>הנתבעת מפנה לעובדה כי בד בבד עם הגשת התביעה ע"פ אמנת האג, הגיש התובע במקביל תביעה נוספת להעתקת מקום מגורי הקטינים. הנתבעת מפנה לעובדה כי התובע לא הגיע לישראל לפגוש את ילדיו, ואף לא הביא את הבן א</w:t>
      </w:r>
      <w:r w:rsidR="00CF7DA1">
        <w:rPr>
          <w:rFonts w:ascii="Arial" w:hAnsi="Arial" w:hint="cs"/>
          <w:noProof w:val="0"/>
          <w:rtl/>
        </w:rPr>
        <w:t>.ל'</w:t>
      </w:r>
      <w:r w:rsidR="00AC43B3">
        <w:rPr>
          <w:rFonts w:ascii="Arial" w:hAnsi="Arial" w:hint="cs"/>
          <w:noProof w:val="0"/>
          <w:rtl/>
        </w:rPr>
        <w:t>, זאת לטענתה, מחשש כי א</w:t>
      </w:r>
      <w:r w:rsidR="00CF7DA1">
        <w:rPr>
          <w:rFonts w:ascii="Arial" w:hAnsi="Arial" w:hint="cs"/>
          <w:noProof w:val="0"/>
          <w:rtl/>
        </w:rPr>
        <w:t>.</w:t>
      </w:r>
      <w:r w:rsidR="00AC43B3">
        <w:rPr>
          <w:rFonts w:ascii="Arial" w:hAnsi="Arial" w:hint="cs"/>
          <w:noProof w:val="0"/>
          <w:rtl/>
        </w:rPr>
        <w:t>ל</w:t>
      </w:r>
      <w:r w:rsidR="00CF7DA1">
        <w:rPr>
          <w:rFonts w:ascii="Arial" w:hAnsi="Arial" w:hint="cs"/>
          <w:noProof w:val="0"/>
          <w:rtl/>
        </w:rPr>
        <w:t>'</w:t>
      </w:r>
      <w:r w:rsidR="00AC43B3">
        <w:rPr>
          <w:rFonts w:ascii="Arial" w:hAnsi="Arial" w:hint="cs"/>
          <w:noProof w:val="0"/>
          <w:rtl/>
        </w:rPr>
        <w:t xml:space="preserve"> יראה את אחיו וירצה אף הוא להישאר בישראל יחד עמם. </w:t>
      </w:r>
      <w:r w:rsidR="00133323">
        <w:rPr>
          <w:rFonts w:ascii="Arial" w:hAnsi="Arial" w:hint="cs"/>
          <w:noProof w:val="0"/>
          <w:rtl/>
        </w:rPr>
        <w:t xml:space="preserve">הנתבעת מתייחסת להסכם הגירושין, אשר לדבריה מאפשר לה לבצע את המעבר כפי שאף ביצעה בפועל. הנתבעת מפנה לעובדה כי התובע לא ביצע כל פעולה שתכליתה שינוי ההסכם, ואילו אכן סבר כי חל שינוי נסיבות, היה עליו להקדים ולפעול, ולא לשבת בחוסר מעש, פרק זמן כה ממושך העולה כדי שנים רבות. </w:t>
      </w:r>
      <w:r w:rsidR="00436C39">
        <w:rPr>
          <w:rFonts w:ascii="Arial" w:hAnsi="Arial" w:hint="cs"/>
          <w:noProof w:val="0"/>
          <w:rtl/>
        </w:rPr>
        <w:t xml:space="preserve">בסעיף 50 לסיכומיה, טוענת הנתבעת כי: </w:t>
      </w:r>
      <w:r w:rsidR="00436C39" w:rsidRPr="00436C39">
        <w:rPr>
          <w:rFonts w:ascii="Arial" w:hAnsi="Arial" w:hint="cs"/>
          <w:b/>
          <w:bCs/>
          <w:noProof w:val="0"/>
          <w:rtl/>
        </w:rPr>
        <w:t xml:space="preserve">"אין חולק כי על פי הסכם הגירושין הנתבעת לא </w:t>
      </w:r>
      <w:r w:rsidR="007339E5" w:rsidRPr="00436C39">
        <w:rPr>
          <w:rFonts w:ascii="Arial" w:hAnsi="Arial" w:hint="cs"/>
          <w:b/>
          <w:bCs/>
          <w:noProof w:val="0"/>
          <w:rtl/>
        </w:rPr>
        <w:t>מחויבת</w:t>
      </w:r>
      <w:r w:rsidR="00436C39" w:rsidRPr="00436C39">
        <w:rPr>
          <w:rFonts w:ascii="Arial" w:hAnsi="Arial" w:hint="cs"/>
          <w:b/>
          <w:bCs/>
          <w:noProof w:val="0"/>
          <w:rtl/>
        </w:rPr>
        <w:t xml:space="preserve"> להגיע ארצה עם שלושת הקטינים..."</w:t>
      </w:r>
      <w:r w:rsidR="00436C39">
        <w:rPr>
          <w:rFonts w:ascii="Arial" w:hAnsi="Arial" w:hint="cs"/>
          <w:b/>
          <w:bCs/>
          <w:noProof w:val="0"/>
          <w:rtl/>
        </w:rPr>
        <w:t xml:space="preserve">.  </w:t>
      </w:r>
      <w:r w:rsidR="00436C39" w:rsidRPr="00436C39">
        <w:rPr>
          <w:rFonts w:ascii="Arial" w:hAnsi="Arial" w:hint="cs"/>
          <w:noProof w:val="0"/>
          <w:rtl/>
        </w:rPr>
        <w:t xml:space="preserve">בעניין זה מפנה הנתבעת </w:t>
      </w:r>
      <w:r w:rsidR="005F4C89">
        <w:rPr>
          <w:rFonts w:ascii="Arial" w:hAnsi="Arial" w:hint="cs"/>
          <w:noProof w:val="0"/>
          <w:rtl/>
        </w:rPr>
        <w:t>לאמור בפסק הדין האוסטרלי</w:t>
      </w:r>
      <w:r w:rsidR="00F2253C">
        <w:rPr>
          <w:rFonts w:ascii="Arial" w:hAnsi="Arial" w:hint="cs"/>
          <w:noProof w:val="0"/>
          <w:rtl/>
        </w:rPr>
        <w:t xml:space="preserve">. </w:t>
      </w:r>
      <w:r w:rsidR="00BD3E50">
        <w:rPr>
          <w:rFonts w:ascii="Arial" w:hAnsi="Arial" w:hint="cs"/>
          <w:noProof w:val="0"/>
          <w:rtl/>
        </w:rPr>
        <w:t>הנתבעת טוענת כי גם במקרה של הפרדה בין אחים, אין להורות על החזרת ילד למדינת המוצא רק מהטעם הזה, ומוסיפה וטוענת כי אין מקום ליתן פרס לתובע על שהחזיק את א</w:t>
      </w:r>
      <w:r w:rsidR="00CF7DA1">
        <w:rPr>
          <w:rFonts w:ascii="Arial" w:hAnsi="Arial" w:hint="cs"/>
          <w:noProof w:val="0"/>
          <w:rtl/>
        </w:rPr>
        <w:t>.</w:t>
      </w:r>
      <w:r w:rsidR="00BD3E50">
        <w:rPr>
          <w:rFonts w:ascii="Arial" w:hAnsi="Arial" w:hint="cs"/>
          <w:noProof w:val="0"/>
          <w:rtl/>
        </w:rPr>
        <w:t>ל</w:t>
      </w:r>
      <w:r w:rsidR="00CF7DA1">
        <w:rPr>
          <w:rFonts w:ascii="Arial" w:hAnsi="Arial" w:hint="cs"/>
          <w:noProof w:val="0"/>
          <w:rtl/>
        </w:rPr>
        <w:t>'</w:t>
      </w:r>
      <w:r w:rsidR="00BD3E50">
        <w:rPr>
          <w:rFonts w:ascii="Arial" w:hAnsi="Arial" w:hint="cs"/>
          <w:noProof w:val="0"/>
          <w:rtl/>
        </w:rPr>
        <w:t xml:space="preserve"> בידיו והסית אותו. </w:t>
      </w:r>
      <w:r w:rsidR="00B7444C" w:rsidRPr="00BD3E50">
        <w:rPr>
          <w:rFonts w:ascii="Arial" w:hAnsi="Arial" w:hint="cs"/>
          <w:noProof w:val="0"/>
          <w:rtl/>
        </w:rPr>
        <w:t xml:space="preserve">הנתבעת שבה ומדגישה כי התובע ידע על המעבר לישראל, ומפנה להתכתבות בין הצדדים בחודשים עובר לנסיעה. </w:t>
      </w:r>
      <w:r w:rsidR="00C6561C" w:rsidRPr="00BD3E50">
        <w:rPr>
          <w:rFonts w:ascii="Arial" w:hAnsi="Arial" w:hint="cs"/>
          <w:noProof w:val="0"/>
          <w:rtl/>
        </w:rPr>
        <w:t>לטענת הנתבעת, מאז נחתם הסכם הגירושין, לא חל כל שינוי נסיבות, ומעבר מקום המגורים בוצע כדין.  לדברי הנתבעת, עצם העובדה כי התובע נתן את הסכמתו לרישום הקטינים למסגר</w:t>
      </w:r>
      <w:r w:rsidR="0080335D">
        <w:rPr>
          <w:rFonts w:ascii="Arial" w:hAnsi="Arial" w:hint="cs"/>
          <w:noProof w:val="0"/>
          <w:rtl/>
        </w:rPr>
        <w:t>ו</w:t>
      </w:r>
      <w:r w:rsidR="00C6561C" w:rsidRPr="00BD3E50">
        <w:rPr>
          <w:rFonts w:ascii="Arial" w:hAnsi="Arial" w:hint="cs"/>
          <w:noProof w:val="0"/>
          <w:rtl/>
        </w:rPr>
        <w:t>ת החינוך, מלמד על הסכמה והשלמה למעבר הקטינים לישראל, ועל כך שמתקיים החריג הקבוע בסעיף 13 לחוק.</w:t>
      </w:r>
      <w:r w:rsidR="00FE7BDA" w:rsidRPr="00BD3E50">
        <w:rPr>
          <w:rFonts w:ascii="Arial" w:hAnsi="Arial" w:hint="cs"/>
          <w:noProof w:val="0"/>
          <w:rtl/>
        </w:rPr>
        <w:t xml:space="preserve"> הנתבעת מפנה למסקנות האפ' לדין ולרצונם של הילדים </w:t>
      </w:r>
      <w:r w:rsidR="00873C5D">
        <w:rPr>
          <w:rFonts w:ascii="Arial" w:hAnsi="Arial" w:hint="cs"/>
          <w:noProof w:val="0"/>
          <w:rtl/>
        </w:rPr>
        <w:t>פ</w:t>
      </w:r>
      <w:r w:rsidR="00873C5D">
        <w:rPr>
          <w:rFonts w:ascii="Arial" w:hAnsi="Arial"/>
          <w:noProof w:val="0"/>
          <w:rtl/>
        </w:rPr>
        <w:t>'</w:t>
      </w:r>
      <w:r w:rsidR="00FE7BDA" w:rsidRPr="00BD3E50">
        <w:rPr>
          <w:rFonts w:ascii="Arial" w:hAnsi="Arial" w:hint="cs"/>
          <w:noProof w:val="0"/>
          <w:rtl/>
        </w:rPr>
        <w:t xml:space="preserve"> ו</w:t>
      </w:r>
      <w:r w:rsidR="00873C5D">
        <w:rPr>
          <w:rFonts w:ascii="Arial" w:hAnsi="Arial" w:hint="cs"/>
          <w:noProof w:val="0"/>
          <w:rtl/>
        </w:rPr>
        <w:t>א</w:t>
      </w:r>
      <w:r w:rsidR="00873C5D">
        <w:rPr>
          <w:rFonts w:ascii="Arial" w:hAnsi="Arial"/>
          <w:noProof w:val="0"/>
          <w:rtl/>
        </w:rPr>
        <w:t>'</w:t>
      </w:r>
      <w:r w:rsidR="00FE7BDA" w:rsidRPr="00BD3E50">
        <w:rPr>
          <w:rFonts w:ascii="Arial" w:hAnsi="Arial" w:hint="cs"/>
          <w:noProof w:val="0"/>
          <w:rtl/>
        </w:rPr>
        <w:t>, וטוענת כי יש ליתן משקל של ממש לרצונם לה</w:t>
      </w:r>
      <w:r w:rsidR="00BD3E50" w:rsidRPr="00BD3E50">
        <w:rPr>
          <w:rFonts w:ascii="Arial" w:hAnsi="Arial" w:hint="cs"/>
          <w:noProof w:val="0"/>
          <w:rtl/>
        </w:rPr>
        <w:t>י</w:t>
      </w:r>
      <w:r w:rsidR="00FE7BDA" w:rsidRPr="00BD3E50">
        <w:rPr>
          <w:rFonts w:ascii="Arial" w:hAnsi="Arial" w:hint="cs"/>
          <w:noProof w:val="0"/>
          <w:rtl/>
        </w:rPr>
        <w:t>שאר בישראל.</w:t>
      </w:r>
      <w:r w:rsidR="00C6561C" w:rsidRPr="00BD3E50">
        <w:rPr>
          <w:rFonts w:ascii="Arial" w:hAnsi="Arial" w:hint="cs"/>
          <w:noProof w:val="0"/>
          <w:rtl/>
        </w:rPr>
        <w:t xml:space="preserve"> </w:t>
      </w:r>
      <w:r w:rsidR="00FE7BDA" w:rsidRPr="00BD3E50">
        <w:rPr>
          <w:rFonts w:ascii="Arial" w:hAnsi="Arial" w:hint="cs"/>
          <w:noProof w:val="0"/>
          <w:rtl/>
        </w:rPr>
        <w:t xml:space="preserve"> הנתבעת מפנה לתמיכה לה זוכים הקטינים מבני המשפחה המורחבת, </w:t>
      </w:r>
      <w:r w:rsidR="0037265D" w:rsidRPr="00BD3E50">
        <w:rPr>
          <w:rFonts w:ascii="Arial" w:hAnsi="Arial" w:hint="cs"/>
          <w:noProof w:val="0"/>
          <w:rtl/>
        </w:rPr>
        <w:t xml:space="preserve">אל מול תחושת הבדידות אותה חוו באוסטרליה, </w:t>
      </w:r>
      <w:r w:rsidR="00FE7BDA" w:rsidRPr="00BD3E50">
        <w:rPr>
          <w:rFonts w:ascii="Arial" w:hAnsi="Arial" w:hint="cs"/>
          <w:noProof w:val="0"/>
          <w:rtl/>
        </w:rPr>
        <w:t>וטוענת כי הדבר מהווה טעם נוס</w:t>
      </w:r>
      <w:r w:rsidR="0037265D" w:rsidRPr="00BD3E50">
        <w:rPr>
          <w:rFonts w:ascii="Arial" w:hAnsi="Arial" w:hint="cs"/>
          <w:noProof w:val="0"/>
          <w:rtl/>
        </w:rPr>
        <w:t>ף בגינו יש להורות על דחיית התביעה.</w:t>
      </w:r>
      <w:r w:rsidR="00FE2339" w:rsidRPr="00BD3E50">
        <w:rPr>
          <w:rFonts w:ascii="Arial" w:hAnsi="Arial" w:hint="cs"/>
          <w:noProof w:val="0"/>
          <w:rtl/>
        </w:rPr>
        <w:t xml:space="preserve"> </w:t>
      </w:r>
      <w:r w:rsidR="00BD3E50" w:rsidRPr="00BD3E50">
        <w:rPr>
          <w:rFonts w:ascii="Arial" w:hAnsi="Arial" w:hint="cs"/>
          <w:noProof w:val="0"/>
          <w:rtl/>
        </w:rPr>
        <w:t xml:space="preserve"> הנתבעת אינה מקבלת את ממצאי המומחה, ולדבריה, מסקנתו לפיה אין ליתן משקל לרצון הקטינים שגויה</w:t>
      </w:r>
      <w:r w:rsidR="0080335D">
        <w:rPr>
          <w:rFonts w:ascii="Arial" w:hAnsi="Arial" w:hint="cs"/>
          <w:noProof w:val="0"/>
          <w:rtl/>
        </w:rPr>
        <w:t xml:space="preserve">, </w:t>
      </w:r>
      <w:r w:rsidR="00BD3E50" w:rsidRPr="00BD3E50">
        <w:rPr>
          <w:rFonts w:ascii="Arial" w:hAnsi="Arial" w:hint="cs"/>
          <w:noProof w:val="0"/>
          <w:rtl/>
        </w:rPr>
        <w:t xml:space="preserve">מנותקת ומתעלמת מטובת הקטינים ומהפסיקה.  </w:t>
      </w:r>
      <w:r w:rsidR="0037265D" w:rsidRPr="00BD3E50">
        <w:rPr>
          <w:rFonts w:ascii="Arial" w:hAnsi="Arial" w:hint="cs"/>
          <w:noProof w:val="0"/>
          <w:rtl/>
        </w:rPr>
        <w:t xml:space="preserve"> </w:t>
      </w:r>
    </w:p>
    <w:p w:rsidR="00AF044B" w:rsidRDefault="00AF044B" w:rsidP="00AF044B">
      <w:pPr>
        <w:tabs>
          <w:tab w:val="left" w:pos="2390"/>
        </w:tabs>
        <w:spacing w:line="360" w:lineRule="auto"/>
        <w:jc w:val="both"/>
        <w:rPr>
          <w:rFonts w:ascii="Arial" w:hAnsi="Arial"/>
          <w:noProof w:val="0"/>
          <w:rtl/>
        </w:rPr>
      </w:pPr>
    </w:p>
    <w:p w:rsidR="00EE11CB" w:rsidRPr="00EE11CB" w:rsidRDefault="00EE11CB" w:rsidP="00EE11CB">
      <w:pPr>
        <w:spacing w:line="360" w:lineRule="auto"/>
        <w:jc w:val="both"/>
        <w:rPr>
          <w:rFonts w:ascii="Arial" w:hAnsi="Arial"/>
          <w:b/>
          <w:bCs/>
          <w:noProof w:val="0"/>
          <w:u w:val="single"/>
          <w:rtl/>
        </w:rPr>
      </w:pPr>
      <w:r w:rsidRPr="00EE11CB">
        <w:rPr>
          <w:rFonts w:ascii="Arial" w:hAnsi="Arial" w:hint="cs"/>
          <w:b/>
          <w:bCs/>
          <w:noProof w:val="0"/>
          <w:u w:val="single"/>
          <w:rtl/>
        </w:rPr>
        <w:t>תמצית חוו"ד האפ' לדין:</w:t>
      </w:r>
    </w:p>
    <w:p w:rsidR="00EE11CB" w:rsidRPr="00EE11CB" w:rsidRDefault="00EE11CB" w:rsidP="00EE11CB">
      <w:pPr>
        <w:spacing w:line="360" w:lineRule="auto"/>
        <w:ind w:left="360"/>
        <w:jc w:val="both"/>
        <w:rPr>
          <w:rFonts w:ascii="Arial" w:hAnsi="Arial"/>
          <w:noProof w:val="0"/>
        </w:rPr>
      </w:pPr>
    </w:p>
    <w:p w:rsidR="00BC4B95" w:rsidRDefault="00EE11CB" w:rsidP="00EE11CB">
      <w:pPr>
        <w:pStyle w:val="ad"/>
        <w:numPr>
          <w:ilvl w:val="0"/>
          <w:numId w:val="1"/>
        </w:numPr>
        <w:spacing w:line="360" w:lineRule="auto"/>
        <w:jc w:val="both"/>
        <w:rPr>
          <w:rFonts w:ascii="Arial" w:hAnsi="Arial"/>
          <w:noProof w:val="0"/>
        </w:rPr>
      </w:pPr>
      <w:r>
        <w:rPr>
          <w:rFonts w:ascii="Arial" w:hAnsi="Arial" w:hint="cs"/>
          <w:noProof w:val="0"/>
          <w:rtl/>
        </w:rPr>
        <w:t>ביום 2/4/24 ניתנה החלטה על מינוי אפ' לדין לקטינים מטעם הלשכה לסיוע משפטי. בהתאם, מונתה עו"ד נסרין אעלימי קבהה לשמש אפ' לדין כאמור.</w:t>
      </w:r>
    </w:p>
    <w:p w:rsidR="003325C0" w:rsidRDefault="003325C0" w:rsidP="003325C0">
      <w:pPr>
        <w:pStyle w:val="ad"/>
        <w:spacing w:line="360" w:lineRule="auto"/>
        <w:jc w:val="both"/>
        <w:rPr>
          <w:rFonts w:ascii="Arial" w:hAnsi="Arial"/>
          <w:noProof w:val="0"/>
        </w:rPr>
      </w:pPr>
    </w:p>
    <w:p w:rsidR="003325C0" w:rsidRDefault="003325C0" w:rsidP="00CF7DA1">
      <w:pPr>
        <w:pStyle w:val="ad"/>
        <w:numPr>
          <w:ilvl w:val="0"/>
          <w:numId w:val="1"/>
        </w:numPr>
        <w:spacing w:line="360" w:lineRule="auto"/>
        <w:jc w:val="both"/>
        <w:rPr>
          <w:rFonts w:ascii="Arial" w:hAnsi="Arial"/>
          <w:noProof w:val="0"/>
        </w:rPr>
      </w:pPr>
      <w:r>
        <w:rPr>
          <w:rFonts w:ascii="Arial" w:hAnsi="Arial" w:hint="cs"/>
          <w:noProof w:val="0"/>
          <w:rtl/>
        </w:rPr>
        <w:t>ביום 30/4/24 הגישה האפ' לדין עמדה ראשונית, אשר נערכה ע"ס מספר מפגשים עם הקטינים, מפגש עם האם, שיחת וידאו עם האב, שיחה עם מחנכות הכיתות של שני הילדים.</w:t>
      </w:r>
      <w:r w:rsidR="0081038D">
        <w:rPr>
          <w:rFonts w:ascii="Arial" w:hAnsi="Arial" w:hint="cs"/>
          <w:noProof w:val="0"/>
          <w:rtl/>
        </w:rPr>
        <w:t xml:space="preserve">  </w:t>
      </w:r>
      <w:r w:rsidR="00B80C74" w:rsidRPr="00B80C74">
        <w:rPr>
          <w:rFonts w:ascii="Arial" w:hAnsi="Arial" w:hint="cs"/>
          <w:b/>
          <w:bCs/>
          <w:noProof w:val="0"/>
          <w:u w:val="single"/>
          <w:rtl/>
        </w:rPr>
        <w:t>ביחס לקטין א</w:t>
      </w:r>
      <w:r w:rsidR="00CF7DA1">
        <w:rPr>
          <w:rFonts w:ascii="Arial" w:hAnsi="Arial" w:hint="cs"/>
          <w:b/>
          <w:bCs/>
          <w:noProof w:val="0"/>
          <w:u w:val="single"/>
          <w:rtl/>
        </w:rPr>
        <w:t>'</w:t>
      </w:r>
      <w:r w:rsidR="00B80C74">
        <w:rPr>
          <w:rFonts w:ascii="Arial" w:hAnsi="Arial" w:hint="cs"/>
          <w:noProof w:val="0"/>
          <w:rtl/>
        </w:rPr>
        <w:t xml:space="preserve"> - </w:t>
      </w:r>
      <w:r w:rsidR="0081038D">
        <w:rPr>
          <w:rFonts w:ascii="Arial" w:hAnsi="Arial" w:hint="cs"/>
          <w:noProof w:val="0"/>
          <w:rtl/>
        </w:rPr>
        <w:t xml:space="preserve">עולה כי הוא מביע שביעות רצון מהשהות בישראל, יצר חברויות, ומעדיף </w:t>
      </w:r>
      <w:r w:rsidR="0081038D">
        <w:rPr>
          <w:rFonts w:ascii="Arial" w:hAnsi="Arial" w:hint="cs"/>
          <w:noProof w:val="0"/>
          <w:rtl/>
        </w:rPr>
        <w:lastRenderedPageBreak/>
        <w:t xml:space="preserve">את המסגרת החינוכית בישראל.  הקטין טען כי בביתו באוסטרליה חש בודד ללא בני משפחתו המורחבת. הקטין מתגעגע לאביו ואחיו. </w:t>
      </w:r>
      <w:r w:rsidR="00873C5D">
        <w:rPr>
          <w:rFonts w:ascii="Arial" w:hAnsi="Arial" w:hint="cs"/>
          <w:noProof w:val="0"/>
          <w:rtl/>
        </w:rPr>
        <w:t>א</w:t>
      </w:r>
      <w:r w:rsidR="00873C5D">
        <w:rPr>
          <w:rFonts w:ascii="Arial" w:hAnsi="Arial"/>
          <w:noProof w:val="0"/>
          <w:rtl/>
        </w:rPr>
        <w:t>'</w:t>
      </w:r>
      <w:r w:rsidR="00B80C74">
        <w:rPr>
          <w:rFonts w:ascii="Arial" w:hAnsi="Arial" w:hint="cs"/>
          <w:noProof w:val="0"/>
          <w:rtl/>
        </w:rPr>
        <w:t xml:space="preserve">  </w:t>
      </w:r>
      <w:r w:rsidR="0081038D">
        <w:rPr>
          <w:rFonts w:ascii="Arial" w:hAnsi="Arial" w:hint="cs"/>
          <w:noProof w:val="0"/>
          <w:rtl/>
        </w:rPr>
        <w:t xml:space="preserve">מעוניין להמשיך את חייו בישראל, חש אהוב עטוף ומוגן בצל בני המשפחה המורחבת, ונהנה מהאווירה המשפחתית. </w:t>
      </w:r>
      <w:r w:rsidR="00B80C74">
        <w:rPr>
          <w:rFonts w:ascii="Arial" w:hAnsi="Arial" w:hint="cs"/>
          <w:noProof w:val="0"/>
          <w:rtl/>
        </w:rPr>
        <w:t xml:space="preserve"> משיחה עם מחנכת הכיתה עולה כי הקטין נקלט היטב, מוקף חברים, מגיע לבית הספר מטופח, באופן סדיר ועם מוטיבציה להצלחה.   </w:t>
      </w:r>
      <w:r w:rsidR="00B80C74" w:rsidRPr="00B80C74">
        <w:rPr>
          <w:rFonts w:ascii="Arial" w:hAnsi="Arial" w:hint="cs"/>
          <w:b/>
          <w:bCs/>
          <w:noProof w:val="0"/>
          <w:u w:val="single"/>
          <w:rtl/>
        </w:rPr>
        <w:t>ביחס לקטין פ</w:t>
      </w:r>
      <w:r w:rsidR="00CF7DA1">
        <w:rPr>
          <w:rFonts w:ascii="Arial" w:hAnsi="Arial" w:hint="cs"/>
          <w:b/>
          <w:bCs/>
          <w:noProof w:val="0"/>
          <w:u w:val="single"/>
          <w:rtl/>
        </w:rPr>
        <w:t>'</w:t>
      </w:r>
      <w:r w:rsidR="00B80C74">
        <w:rPr>
          <w:rFonts w:ascii="Arial" w:hAnsi="Arial" w:hint="cs"/>
          <w:noProof w:val="0"/>
          <w:rtl/>
        </w:rPr>
        <w:t xml:space="preserve"> -  לדבריו, טוב לו בישראל, הוא אוהב לשחק כדורגל ויצר חברויות.  הקטין מתגעגע לאביו ואחיו, ומקווה כי הם יעברו להתגורר בישראל.  מחנכת הכיתה מציינת כי </w:t>
      </w:r>
      <w:r w:rsidR="00873C5D">
        <w:rPr>
          <w:rFonts w:ascii="Arial" w:hAnsi="Arial" w:hint="cs"/>
          <w:noProof w:val="0"/>
          <w:rtl/>
        </w:rPr>
        <w:t>פ</w:t>
      </w:r>
      <w:r w:rsidR="00873C5D">
        <w:rPr>
          <w:rFonts w:ascii="Arial" w:hAnsi="Arial"/>
          <w:noProof w:val="0"/>
          <w:rtl/>
        </w:rPr>
        <w:t>'</w:t>
      </w:r>
      <w:r w:rsidR="00B80C74">
        <w:rPr>
          <w:rFonts w:ascii="Arial" w:hAnsi="Arial" w:hint="cs"/>
          <w:noProof w:val="0"/>
          <w:rtl/>
        </w:rPr>
        <w:t xml:space="preserve"> התאקלם היטב, יצר חברויות, וקיים קשר עם שני ההורים. </w:t>
      </w:r>
    </w:p>
    <w:p w:rsidR="00506818" w:rsidRPr="00506818" w:rsidRDefault="00506818" w:rsidP="00506818">
      <w:pPr>
        <w:pStyle w:val="ad"/>
        <w:rPr>
          <w:rFonts w:ascii="Arial" w:hAnsi="Arial"/>
          <w:noProof w:val="0"/>
          <w:rtl/>
        </w:rPr>
      </w:pPr>
    </w:p>
    <w:p w:rsidR="00506818" w:rsidRDefault="00506818" w:rsidP="0080779A">
      <w:pPr>
        <w:pStyle w:val="ad"/>
        <w:numPr>
          <w:ilvl w:val="0"/>
          <w:numId w:val="1"/>
        </w:numPr>
        <w:spacing w:line="360" w:lineRule="auto"/>
        <w:jc w:val="both"/>
        <w:rPr>
          <w:rFonts w:ascii="Arial" w:hAnsi="Arial"/>
          <w:noProof w:val="0"/>
        </w:rPr>
      </w:pPr>
      <w:r w:rsidRPr="001A1ADF">
        <w:rPr>
          <w:rFonts w:ascii="Arial" w:hAnsi="Arial" w:hint="cs"/>
          <w:b/>
          <w:bCs/>
          <w:noProof w:val="0"/>
          <w:u w:val="single"/>
          <w:rtl/>
        </w:rPr>
        <w:t>בסיכומיה</w:t>
      </w:r>
      <w:r>
        <w:rPr>
          <w:rFonts w:ascii="Arial" w:hAnsi="Arial" w:hint="cs"/>
          <w:noProof w:val="0"/>
          <w:rtl/>
        </w:rPr>
        <w:t xml:space="preserve"> </w:t>
      </w:r>
      <w:r w:rsidR="009E5A08">
        <w:rPr>
          <w:rFonts w:ascii="Arial" w:hAnsi="Arial"/>
          <w:noProof w:val="0"/>
          <w:rtl/>
        </w:rPr>
        <w:t>–</w:t>
      </w:r>
      <w:r>
        <w:rPr>
          <w:rFonts w:ascii="Arial" w:hAnsi="Arial" w:hint="cs"/>
          <w:noProof w:val="0"/>
          <w:rtl/>
        </w:rPr>
        <w:t xml:space="preserve"> </w:t>
      </w:r>
      <w:r w:rsidR="009E5A08">
        <w:rPr>
          <w:rFonts w:ascii="Arial" w:hAnsi="Arial" w:hint="cs"/>
          <w:noProof w:val="0"/>
          <w:rtl/>
        </w:rPr>
        <w:t>מפרטת האפ' לדין את כלל הנסיבות, ומסקנתה הנה כי אין מדובר בחטיפה בהתאם להוראות החוק. לדבריה, הנתבעת פעלה בהתאם להוראות הסכם הגירושין, והודיע</w:t>
      </w:r>
      <w:r w:rsidR="0080335D">
        <w:rPr>
          <w:rFonts w:ascii="Arial" w:hAnsi="Arial" w:hint="cs"/>
          <w:noProof w:val="0"/>
          <w:rtl/>
        </w:rPr>
        <w:t>ה</w:t>
      </w:r>
      <w:r w:rsidR="009E5A08">
        <w:rPr>
          <w:rFonts w:ascii="Arial" w:hAnsi="Arial" w:hint="cs"/>
          <w:noProof w:val="0"/>
          <w:rtl/>
        </w:rPr>
        <w:t xml:space="preserve"> מראש על כוונתה להעתיק את מקום לגורי הקטינים לישראל.  האפ' מפנה לחקירת האב בה הודה כי במועד חתימת ההסכם, סבר כי טובת הקטינים לגדול בישראל. </w:t>
      </w:r>
      <w:r w:rsidR="00BA323E">
        <w:rPr>
          <w:rFonts w:ascii="Arial" w:hAnsi="Arial" w:hint="cs"/>
          <w:noProof w:val="0"/>
          <w:rtl/>
        </w:rPr>
        <w:t xml:space="preserve"> האפ' לדין מתייחסת לאופן ביצוע המעבר, תוך הפרדת הקטינים מאחיהם וללא מתן אפשרות פרידה, ומסכימה כי הדבר פוגע ומנוגד לטובת הקטינים.  היא מפנה למאמר פרופ' רות זפרן, אשר ממנו עולה חשיבות הקשר האחאי, וכי קיומו של קשר אחאי מיטיב, יכול לפצות על פירוד ה</w:t>
      </w:r>
      <w:r w:rsidR="0080779A">
        <w:rPr>
          <w:rFonts w:ascii="Arial" w:hAnsi="Arial" w:hint="cs"/>
          <w:noProof w:val="0"/>
          <w:rtl/>
        </w:rPr>
        <w:t>ה</w:t>
      </w:r>
      <w:r w:rsidR="00BA323E">
        <w:rPr>
          <w:rFonts w:ascii="Arial" w:hAnsi="Arial" w:hint="cs"/>
          <w:noProof w:val="0"/>
          <w:rtl/>
        </w:rPr>
        <w:t xml:space="preserve">ורים. </w:t>
      </w:r>
      <w:r w:rsidR="0080779A">
        <w:rPr>
          <w:rFonts w:ascii="Arial" w:hAnsi="Arial" w:hint="cs"/>
          <w:noProof w:val="0"/>
          <w:rtl/>
        </w:rPr>
        <w:t xml:space="preserve"> בנוסף, האפ' לדין מפנה לרצון הקטינים, כאשר לדבריה, במקרה זה מתקיים החריג הקבוע בסעיף 13[ב] הקובע כי יש מקום ליתן עמדה ומשקל לרצון הילד. לדבריה, אין מקום לקבל את עמדת המומחה ד"ר גוטליב, ולפיה אין ליתן משקל מכריע לרצונם של הקטינים. </w:t>
      </w:r>
    </w:p>
    <w:p w:rsidR="000911D3" w:rsidRDefault="000911D3" w:rsidP="000911D3">
      <w:pPr>
        <w:pStyle w:val="ad"/>
        <w:spacing w:line="360" w:lineRule="auto"/>
        <w:jc w:val="both"/>
        <w:rPr>
          <w:rFonts w:ascii="Arial" w:hAnsi="Arial"/>
          <w:noProof w:val="0"/>
        </w:rPr>
      </w:pPr>
    </w:p>
    <w:p w:rsidR="000911D3" w:rsidRDefault="000911D3" w:rsidP="0080335D">
      <w:pPr>
        <w:pStyle w:val="ad"/>
        <w:numPr>
          <w:ilvl w:val="0"/>
          <w:numId w:val="1"/>
        </w:numPr>
        <w:spacing w:line="360" w:lineRule="auto"/>
        <w:jc w:val="both"/>
        <w:rPr>
          <w:rFonts w:ascii="Arial" w:hAnsi="Arial"/>
          <w:noProof w:val="0"/>
        </w:rPr>
      </w:pPr>
      <w:r w:rsidRPr="00A96D53">
        <w:rPr>
          <w:rFonts w:ascii="Arial" w:hAnsi="Arial" w:hint="cs"/>
          <w:noProof w:val="0"/>
          <w:rtl/>
        </w:rPr>
        <w:t xml:space="preserve">ביום 10/4/24 התקיים לפני דיון ובו נשמעו טענות הצדדים בהרחבה. </w:t>
      </w:r>
      <w:r w:rsidR="0024151A" w:rsidRPr="00A96D53">
        <w:rPr>
          <w:rFonts w:ascii="Arial" w:hAnsi="Arial" w:hint="cs"/>
          <w:noProof w:val="0"/>
          <w:rtl/>
        </w:rPr>
        <w:t xml:space="preserve">באותו מועד, ניתנו הוראות לגבי שמיעת הקטינים בלשכתי.  באותו מועד נשמעו טענות ב"כ התובע לגבי התביעה הנוספת שהוגשה תמ"ש 21280-04-24, ובאותו מועד ניתנה החלטה המורה על עיכוב ההליכים באותה תביעה, זאת לנוכח העובדה כי תלויה ועומדת תביעה ע"פ הוראות חוק אמנת האג ועל מנת לייתר </w:t>
      </w:r>
      <w:r w:rsidR="0080335D">
        <w:rPr>
          <w:rFonts w:ascii="Arial" w:hAnsi="Arial" w:hint="cs"/>
          <w:noProof w:val="0"/>
          <w:rtl/>
        </w:rPr>
        <w:t xml:space="preserve">ולמנוע </w:t>
      </w:r>
      <w:r w:rsidR="0024151A" w:rsidRPr="00A96D53">
        <w:rPr>
          <w:rFonts w:ascii="Arial" w:hAnsi="Arial" w:hint="cs"/>
          <w:noProof w:val="0"/>
          <w:rtl/>
        </w:rPr>
        <w:t>כפל הליכ</w:t>
      </w:r>
      <w:r w:rsidR="0050390D" w:rsidRPr="00A96D53">
        <w:rPr>
          <w:rFonts w:ascii="Arial" w:hAnsi="Arial" w:hint="cs"/>
          <w:noProof w:val="0"/>
          <w:rtl/>
        </w:rPr>
        <w:t>ים. עוד ניתנה החלטה למינוי ד"ר גוטליב כמומחה מטעם בית המשפט, לצורך עריכת חוו"ד</w:t>
      </w:r>
      <w:r w:rsidR="00A96D53">
        <w:rPr>
          <w:rFonts w:ascii="Arial" w:hAnsi="Arial" w:hint="cs"/>
          <w:noProof w:val="0"/>
          <w:rtl/>
        </w:rPr>
        <w:t>.</w:t>
      </w:r>
    </w:p>
    <w:p w:rsidR="00A96D53" w:rsidRPr="00A96D53" w:rsidRDefault="00A96D53" w:rsidP="00A96D53">
      <w:pPr>
        <w:pStyle w:val="ad"/>
        <w:rPr>
          <w:rFonts w:ascii="Arial" w:hAnsi="Arial"/>
          <w:noProof w:val="0"/>
          <w:rtl/>
        </w:rPr>
      </w:pPr>
    </w:p>
    <w:p w:rsidR="00A96D53" w:rsidRPr="00A96D53" w:rsidRDefault="00A96D53" w:rsidP="00A96D53">
      <w:pPr>
        <w:pStyle w:val="ad"/>
        <w:spacing w:line="360" w:lineRule="auto"/>
        <w:jc w:val="both"/>
        <w:rPr>
          <w:rFonts w:ascii="Arial" w:hAnsi="Arial"/>
          <w:noProof w:val="0"/>
          <w:rtl/>
        </w:rPr>
      </w:pPr>
    </w:p>
    <w:p w:rsidR="006726A4" w:rsidRPr="006726A4" w:rsidRDefault="006726A4" w:rsidP="006726A4">
      <w:pPr>
        <w:spacing w:line="360" w:lineRule="auto"/>
        <w:jc w:val="both"/>
        <w:rPr>
          <w:rFonts w:ascii="Arial" w:hAnsi="Arial"/>
          <w:b/>
          <w:bCs/>
          <w:noProof w:val="0"/>
          <w:u w:val="single"/>
          <w:rtl/>
        </w:rPr>
      </w:pPr>
      <w:r w:rsidRPr="006726A4">
        <w:rPr>
          <w:rFonts w:ascii="Arial" w:hAnsi="Arial" w:hint="cs"/>
          <w:b/>
          <w:bCs/>
          <w:noProof w:val="0"/>
          <w:u w:val="single"/>
          <w:rtl/>
        </w:rPr>
        <w:t>תמצית חוו"ד המומחה ד"ר גוטליב:</w:t>
      </w:r>
    </w:p>
    <w:p w:rsidR="006726A4" w:rsidRPr="006726A4" w:rsidRDefault="006726A4" w:rsidP="006726A4">
      <w:pPr>
        <w:spacing w:line="360" w:lineRule="auto"/>
        <w:ind w:left="360"/>
        <w:jc w:val="both"/>
        <w:rPr>
          <w:rFonts w:ascii="Arial" w:hAnsi="Arial"/>
          <w:noProof w:val="0"/>
        </w:rPr>
      </w:pPr>
    </w:p>
    <w:p w:rsidR="00A96D53" w:rsidRDefault="00A96D53" w:rsidP="006876F6">
      <w:pPr>
        <w:pStyle w:val="ad"/>
        <w:numPr>
          <w:ilvl w:val="0"/>
          <w:numId w:val="1"/>
        </w:numPr>
        <w:spacing w:line="360" w:lineRule="auto"/>
        <w:jc w:val="both"/>
        <w:rPr>
          <w:rFonts w:ascii="Arial" w:hAnsi="Arial"/>
          <w:noProof w:val="0"/>
        </w:rPr>
      </w:pPr>
      <w:r>
        <w:rPr>
          <w:rFonts w:ascii="Arial" w:hAnsi="Arial" w:hint="cs"/>
          <w:noProof w:val="0"/>
          <w:rtl/>
        </w:rPr>
        <w:t xml:space="preserve">כמפורט לעיל, ביום 10/4/24 ניתנה החלטה למינוי ד"ר גוטליב כמומחה, זאת לצורך עריכת חוו"ד ובחינת טובת הקטינים ביחס להוראות החריג הקבוע בס' 13 לחוק, </w:t>
      </w:r>
      <w:r w:rsidRPr="00C63BBA">
        <w:rPr>
          <w:rFonts w:ascii="Arial" w:hAnsi="Arial"/>
          <w:noProof w:val="0"/>
          <w:rtl/>
        </w:rPr>
        <w:t>קרי האם קיים חשש חמור כי השבת הקטינ</w:t>
      </w:r>
      <w:r>
        <w:rPr>
          <w:rFonts w:ascii="Arial" w:hAnsi="Arial" w:hint="cs"/>
          <w:noProof w:val="0"/>
          <w:rtl/>
        </w:rPr>
        <w:t>ים</w:t>
      </w:r>
      <w:r w:rsidRPr="00C63BBA">
        <w:rPr>
          <w:rFonts w:ascii="Arial" w:hAnsi="Arial"/>
          <w:noProof w:val="0"/>
          <w:rtl/>
        </w:rPr>
        <w:t xml:space="preserve"> לחו"ל תחשוף אות</w:t>
      </w:r>
      <w:r>
        <w:rPr>
          <w:rFonts w:ascii="Arial" w:hAnsi="Arial" w:hint="cs"/>
          <w:noProof w:val="0"/>
          <w:rtl/>
        </w:rPr>
        <w:t>ם</w:t>
      </w:r>
      <w:r w:rsidRPr="00C63BBA">
        <w:rPr>
          <w:rFonts w:ascii="Arial" w:hAnsi="Arial"/>
          <w:noProof w:val="0"/>
          <w:rtl/>
        </w:rPr>
        <w:t xml:space="preserve"> לנזק פיזי או פסיכולוגי או תעמיד אות</w:t>
      </w:r>
      <w:r>
        <w:rPr>
          <w:rFonts w:ascii="Arial" w:hAnsi="Arial" w:hint="cs"/>
          <w:noProof w:val="0"/>
          <w:rtl/>
        </w:rPr>
        <w:t>ם</w:t>
      </w:r>
      <w:r w:rsidRPr="00C63BBA">
        <w:rPr>
          <w:rFonts w:ascii="Arial" w:hAnsi="Arial"/>
          <w:noProof w:val="0"/>
          <w:rtl/>
        </w:rPr>
        <w:t xml:space="preserve"> בדרך אחרת במצב בלתי נסבל.  </w:t>
      </w:r>
    </w:p>
    <w:p w:rsidR="00A96D53" w:rsidRDefault="00A96D53" w:rsidP="00A96D53">
      <w:pPr>
        <w:pStyle w:val="ad"/>
        <w:spacing w:line="360" w:lineRule="auto"/>
        <w:jc w:val="both"/>
        <w:rPr>
          <w:rFonts w:ascii="Arial" w:hAnsi="Arial"/>
          <w:noProof w:val="0"/>
        </w:rPr>
      </w:pPr>
    </w:p>
    <w:p w:rsidR="00517BF6" w:rsidRDefault="00517BF6" w:rsidP="006876F6">
      <w:pPr>
        <w:pStyle w:val="ad"/>
        <w:numPr>
          <w:ilvl w:val="0"/>
          <w:numId w:val="1"/>
        </w:numPr>
        <w:spacing w:line="360" w:lineRule="auto"/>
        <w:jc w:val="both"/>
        <w:rPr>
          <w:rFonts w:ascii="Arial" w:hAnsi="Arial"/>
          <w:noProof w:val="0"/>
        </w:rPr>
      </w:pPr>
      <w:r>
        <w:rPr>
          <w:rFonts w:ascii="Arial" w:hAnsi="Arial" w:hint="cs"/>
          <w:noProof w:val="0"/>
          <w:rtl/>
        </w:rPr>
        <w:lastRenderedPageBreak/>
        <w:t>חוו"ד המומחה  ד"ר גוטליב, מכון שינוי</w:t>
      </w:r>
      <w:r w:rsidR="00F87F05">
        <w:rPr>
          <w:rFonts w:ascii="Arial" w:hAnsi="Arial" w:hint="cs"/>
          <w:noProof w:val="0"/>
          <w:rtl/>
        </w:rPr>
        <w:t>,</w:t>
      </w:r>
      <w:r>
        <w:rPr>
          <w:rFonts w:ascii="Arial" w:hAnsi="Arial" w:hint="cs"/>
          <w:noProof w:val="0"/>
          <w:rtl/>
        </w:rPr>
        <w:t xml:space="preserve"> מיום 30/4/24 [הוגשה לתיק ביום 8/5/24].</w:t>
      </w:r>
    </w:p>
    <w:p w:rsidR="0063626C" w:rsidRPr="00A96D53" w:rsidRDefault="0063626C" w:rsidP="0063626C">
      <w:pPr>
        <w:pStyle w:val="ad"/>
        <w:rPr>
          <w:rFonts w:ascii="Arial" w:hAnsi="Arial"/>
          <w:noProof w:val="0"/>
          <w:rtl/>
        </w:rPr>
      </w:pPr>
    </w:p>
    <w:p w:rsidR="006726A4" w:rsidRDefault="00E50219" w:rsidP="006876F6">
      <w:pPr>
        <w:pStyle w:val="ad"/>
        <w:numPr>
          <w:ilvl w:val="0"/>
          <w:numId w:val="1"/>
        </w:numPr>
        <w:spacing w:line="360" w:lineRule="auto"/>
        <w:jc w:val="both"/>
        <w:rPr>
          <w:rFonts w:ascii="Arial" w:hAnsi="Arial"/>
          <w:noProof w:val="0"/>
        </w:rPr>
      </w:pPr>
      <w:r>
        <w:rPr>
          <w:rFonts w:ascii="Arial" w:hAnsi="Arial" w:hint="cs"/>
          <w:noProof w:val="0"/>
          <w:rtl/>
        </w:rPr>
        <w:t xml:space="preserve">מדברי המומחה עולה כי שיתוף הפעולה מצד האם היה חלקי. האם התעלמה מהמצב בו קיימת למעשה הפרדה בין אחים, ועוד אחים תאומים. האם לא טענה כי האב מהווה סכנה לילדים או לה עצמה. לא נשמע כי הגעתה לישראל נבעה עקב מצוקה של ממש, ונראה כי המניע העיקרי היה רצונה להתקרב לבני משפחתה התומכת.   לדברי האם הקשר בין הילדים לאב ולאח </w:t>
      </w:r>
      <w:r w:rsidR="00873C5D">
        <w:rPr>
          <w:rFonts w:ascii="Arial" w:hAnsi="Arial" w:hint="cs"/>
          <w:noProof w:val="0"/>
          <w:rtl/>
        </w:rPr>
        <w:t>א.ל</w:t>
      </w:r>
      <w:r w:rsidR="00873C5D">
        <w:rPr>
          <w:rFonts w:ascii="Arial" w:hAnsi="Arial"/>
          <w:noProof w:val="0"/>
          <w:rtl/>
        </w:rPr>
        <w:t>'</w:t>
      </w:r>
      <w:r>
        <w:rPr>
          <w:rFonts w:ascii="Arial" w:hAnsi="Arial" w:hint="cs"/>
          <w:noProof w:val="0"/>
          <w:rtl/>
        </w:rPr>
        <w:t xml:space="preserve"> אינו מסודר ומתקיים בעיקר בסופי שבוע, והאם אינה סבורה כי יש מקום להעיר את הקטינים מוקדם בבוקר לפני יום הלימודים על מנת לקיים שיחה עם האב והאח. </w:t>
      </w:r>
    </w:p>
    <w:p w:rsidR="00E50219" w:rsidRPr="00E50219" w:rsidRDefault="00E50219" w:rsidP="00E50219">
      <w:pPr>
        <w:pStyle w:val="ad"/>
        <w:rPr>
          <w:rFonts w:ascii="Arial" w:hAnsi="Arial"/>
          <w:noProof w:val="0"/>
          <w:rtl/>
        </w:rPr>
      </w:pPr>
    </w:p>
    <w:p w:rsidR="00E50219" w:rsidRDefault="00E50219" w:rsidP="006876F6">
      <w:pPr>
        <w:pStyle w:val="ad"/>
        <w:numPr>
          <w:ilvl w:val="0"/>
          <w:numId w:val="1"/>
        </w:numPr>
        <w:spacing w:line="360" w:lineRule="auto"/>
        <w:jc w:val="both"/>
        <w:rPr>
          <w:rFonts w:ascii="Arial" w:hAnsi="Arial"/>
          <w:noProof w:val="0"/>
        </w:rPr>
      </w:pPr>
      <w:r>
        <w:rPr>
          <w:rFonts w:ascii="Arial" w:hAnsi="Arial" w:hint="cs"/>
          <w:noProof w:val="0"/>
          <w:rtl/>
        </w:rPr>
        <w:t>שי</w:t>
      </w:r>
      <w:r w:rsidR="006B030F">
        <w:rPr>
          <w:rFonts w:ascii="Arial" w:hAnsi="Arial" w:hint="cs"/>
          <w:noProof w:val="0"/>
          <w:rtl/>
        </w:rPr>
        <w:t>תוף הפעולה מצד האב היה מלא. לדבריו, האם אינה מאפשר</w:t>
      </w:r>
      <w:r w:rsidR="0080335D">
        <w:rPr>
          <w:rFonts w:ascii="Arial" w:hAnsi="Arial" w:hint="cs"/>
          <w:noProof w:val="0"/>
          <w:rtl/>
        </w:rPr>
        <w:t>ת</w:t>
      </w:r>
      <w:r w:rsidR="006B030F">
        <w:rPr>
          <w:rFonts w:ascii="Arial" w:hAnsi="Arial" w:hint="cs"/>
          <w:noProof w:val="0"/>
          <w:rtl/>
        </w:rPr>
        <w:t xml:space="preserve"> קיום קשר ושיחות בינו לבין ילדיו.  האב תיאר מצבים בהם הבן </w:t>
      </w:r>
      <w:r w:rsidR="00873C5D">
        <w:rPr>
          <w:rFonts w:ascii="Arial" w:hAnsi="Arial" w:hint="cs"/>
          <w:noProof w:val="0"/>
          <w:rtl/>
        </w:rPr>
        <w:t>א.ל</w:t>
      </w:r>
      <w:r w:rsidR="00873C5D">
        <w:rPr>
          <w:rFonts w:ascii="Arial" w:hAnsi="Arial"/>
          <w:noProof w:val="0"/>
          <w:rtl/>
        </w:rPr>
        <w:t>'</w:t>
      </w:r>
      <w:r w:rsidR="006B030F">
        <w:rPr>
          <w:rFonts w:ascii="Arial" w:hAnsi="Arial" w:hint="cs"/>
          <w:noProof w:val="0"/>
          <w:rtl/>
        </w:rPr>
        <w:t xml:space="preserve"> ברח מהאם לאחר שנהגה כלפיו באלימות.  האב סבור כי יש לראות בהסכם הגירושין כבטל ומבוטל. </w:t>
      </w:r>
    </w:p>
    <w:p w:rsidR="006B030F" w:rsidRPr="006B030F" w:rsidRDefault="006B030F" w:rsidP="006B030F">
      <w:pPr>
        <w:pStyle w:val="ad"/>
        <w:rPr>
          <w:rFonts w:ascii="Arial" w:hAnsi="Arial"/>
          <w:noProof w:val="0"/>
          <w:rtl/>
        </w:rPr>
      </w:pPr>
    </w:p>
    <w:p w:rsidR="006B030F" w:rsidRDefault="006B030F" w:rsidP="00873C5D">
      <w:pPr>
        <w:pStyle w:val="ad"/>
        <w:numPr>
          <w:ilvl w:val="0"/>
          <w:numId w:val="1"/>
        </w:numPr>
        <w:spacing w:line="360" w:lineRule="auto"/>
        <w:jc w:val="both"/>
        <w:rPr>
          <w:rFonts w:ascii="Arial" w:hAnsi="Arial"/>
          <w:noProof w:val="0"/>
        </w:rPr>
      </w:pPr>
      <w:r>
        <w:rPr>
          <w:rFonts w:ascii="Arial" w:hAnsi="Arial" w:hint="cs"/>
          <w:noProof w:val="0"/>
          <w:rtl/>
        </w:rPr>
        <w:t xml:space="preserve">המומחה נפגש עם הקטינים.  לדבריו, </w:t>
      </w:r>
      <w:r w:rsidR="00873C5D">
        <w:rPr>
          <w:rFonts w:ascii="Arial" w:hAnsi="Arial" w:hint="cs"/>
          <w:noProof w:val="0"/>
          <w:rtl/>
        </w:rPr>
        <w:t>ג</w:t>
      </w:r>
      <w:r>
        <w:rPr>
          <w:rFonts w:ascii="Arial" w:hAnsi="Arial" w:hint="cs"/>
          <w:noProof w:val="0"/>
          <w:rtl/>
        </w:rPr>
        <w:t xml:space="preserve"> מביע רצון להישאר בישראל, ואינו נוקט בצד במאבק בין הוריו. עיקר הנימוק קשור ברצונו להישא</w:t>
      </w:r>
      <w:r>
        <w:rPr>
          <w:rFonts w:ascii="Arial" w:hAnsi="Arial" w:hint="eastAsia"/>
          <w:noProof w:val="0"/>
          <w:rtl/>
        </w:rPr>
        <w:t>ר</w:t>
      </w:r>
      <w:r>
        <w:rPr>
          <w:rFonts w:ascii="Arial" w:hAnsi="Arial" w:hint="cs"/>
          <w:noProof w:val="0"/>
          <w:rtl/>
        </w:rPr>
        <w:t xml:space="preserve"> קרוב למשפחתו המורחבת. </w:t>
      </w:r>
      <w:r w:rsidR="005B049B">
        <w:rPr>
          <w:rFonts w:ascii="Arial" w:hAnsi="Arial" w:hint="cs"/>
          <w:noProof w:val="0"/>
          <w:rtl/>
        </w:rPr>
        <w:t xml:space="preserve">גם הקטין </w:t>
      </w:r>
      <w:r w:rsidR="00873C5D">
        <w:rPr>
          <w:rFonts w:ascii="Arial" w:hAnsi="Arial" w:hint="cs"/>
          <w:noProof w:val="0"/>
          <w:rtl/>
        </w:rPr>
        <w:t>א</w:t>
      </w:r>
      <w:r w:rsidR="00873C5D">
        <w:rPr>
          <w:rFonts w:ascii="Arial" w:hAnsi="Arial"/>
          <w:noProof w:val="0"/>
          <w:rtl/>
        </w:rPr>
        <w:t>'</w:t>
      </w:r>
      <w:r w:rsidR="005B049B">
        <w:rPr>
          <w:rFonts w:ascii="Arial" w:hAnsi="Arial" w:hint="cs"/>
          <w:noProof w:val="0"/>
          <w:rtl/>
        </w:rPr>
        <w:t xml:space="preserve"> שיתוף פעולה. הוא מעוניין להישאר בארץ אך אינו יודע ממש להסביר את עמדתו.  </w:t>
      </w:r>
    </w:p>
    <w:p w:rsidR="005B049B" w:rsidRPr="005B049B" w:rsidRDefault="005B049B" w:rsidP="005B049B">
      <w:pPr>
        <w:pStyle w:val="ad"/>
        <w:rPr>
          <w:rFonts w:ascii="Arial" w:hAnsi="Arial"/>
          <w:noProof w:val="0"/>
          <w:rtl/>
        </w:rPr>
      </w:pPr>
    </w:p>
    <w:p w:rsidR="005B049B" w:rsidRDefault="005B049B" w:rsidP="006876F6">
      <w:pPr>
        <w:pStyle w:val="ad"/>
        <w:numPr>
          <w:ilvl w:val="0"/>
          <w:numId w:val="1"/>
        </w:numPr>
        <w:spacing w:line="360" w:lineRule="auto"/>
        <w:jc w:val="both"/>
        <w:rPr>
          <w:rFonts w:ascii="Arial" w:hAnsi="Arial"/>
          <w:noProof w:val="0"/>
        </w:rPr>
      </w:pPr>
      <w:r>
        <w:rPr>
          <w:rFonts w:ascii="Arial" w:hAnsi="Arial" w:hint="cs"/>
          <w:noProof w:val="0"/>
          <w:rtl/>
        </w:rPr>
        <w:t xml:space="preserve">המומחה מתאר את הקושי והבעייתיות הקיימת עקב הניתוק וההפרדה בין האחים. האב נראה מודע ומוטרד, אך לא ברור האם מודעות זו קיימת אצל האם. </w:t>
      </w:r>
      <w:r w:rsidR="00982ED5">
        <w:rPr>
          <w:rFonts w:ascii="Arial" w:hAnsi="Arial" w:hint="cs"/>
          <w:noProof w:val="0"/>
          <w:rtl/>
        </w:rPr>
        <w:t xml:space="preserve">מסקנת המומחה הנה כי חזרתם של הילדים לאוסטרליה לא תגרום להם לכל נזק פיזי או פסיכולוגי או תעמיד אותם בדרך אחרת במצב בלתי נסבל.  הילדים מביעים רצון להישאר בישראל אך אינם מתנגדים לחזור לאוסטרליה.  מבחינת גיל הילדים ורמת בגרותם, </w:t>
      </w:r>
      <w:r w:rsidR="00982ED5" w:rsidRPr="00982ED5">
        <w:rPr>
          <w:rFonts w:ascii="Arial" w:hAnsi="Arial" w:hint="cs"/>
          <w:noProof w:val="0"/>
          <w:rtl/>
        </w:rPr>
        <w:t xml:space="preserve">לא נראה כי יש מקום ליתן משקל מכריע או משמעותי לרצונם.  </w:t>
      </w:r>
      <w:r w:rsidRPr="00982ED5">
        <w:rPr>
          <w:rFonts w:ascii="Arial" w:hAnsi="Arial" w:hint="cs"/>
          <w:noProof w:val="0"/>
          <w:rtl/>
        </w:rPr>
        <w:t xml:space="preserve"> </w:t>
      </w:r>
    </w:p>
    <w:p w:rsidR="00622118" w:rsidRPr="00622118" w:rsidRDefault="00622118" w:rsidP="00622118">
      <w:pPr>
        <w:pStyle w:val="ad"/>
        <w:rPr>
          <w:rFonts w:ascii="Arial" w:hAnsi="Arial"/>
          <w:noProof w:val="0"/>
          <w:rtl/>
        </w:rPr>
      </w:pPr>
    </w:p>
    <w:p w:rsidR="00622118" w:rsidRPr="00AE546C" w:rsidRDefault="00622118" w:rsidP="006876F6">
      <w:pPr>
        <w:pStyle w:val="ad"/>
        <w:numPr>
          <w:ilvl w:val="0"/>
          <w:numId w:val="1"/>
        </w:numPr>
        <w:spacing w:line="360" w:lineRule="auto"/>
        <w:jc w:val="both"/>
        <w:rPr>
          <w:rFonts w:ascii="Arial" w:hAnsi="Arial"/>
          <w:b/>
          <w:bCs/>
          <w:noProof w:val="0"/>
        </w:rPr>
      </w:pPr>
      <w:r w:rsidRPr="00AE546C">
        <w:rPr>
          <w:rFonts w:ascii="Arial" w:hAnsi="Arial" w:hint="cs"/>
          <w:b/>
          <w:bCs/>
          <w:noProof w:val="0"/>
          <w:rtl/>
        </w:rPr>
        <w:t>שני הצדדים ויתרו על חקירת המומחה.</w:t>
      </w:r>
    </w:p>
    <w:p w:rsidR="00A96D53" w:rsidRPr="00A96D53" w:rsidRDefault="00A96D53" w:rsidP="006C27E7">
      <w:pPr>
        <w:pStyle w:val="ad"/>
        <w:spacing w:line="360" w:lineRule="auto"/>
        <w:jc w:val="both"/>
        <w:rPr>
          <w:rFonts w:ascii="Arial" w:hAnsi="Arial"/>
          <w:noProof w:val="0"/>
        </w:rPr>
      </w:pPr>
    </w:p>
    <w:p w:rsidR="0063626C" w:rsidRDefault="00653ADB" w:rsidP="00CF7DA1">
      <w:pPr>
        <w:pStyle w:val="ad"/>
        <w:numPr>
          <w:ilvl w:val="0"/>
          <w:numId w:val="1"/>
        </w:numPr>
        <w:spacing w:line="360" w:lineRule="auto"/>
        <w:jc w:val="both"/>
        <w:rPr>
          <w:rFonts w:ascii="Arial" w:hAnsi="Arial"/>
          <w:noProof w:val="0"/>
        </w:rPr>
      </w:pPr>
      <w:r w:rsidRPr="00653ADB">
        <w:rPr>
          <w:rFonts w:ascii="Arial" w:hAnsi="Arial" w:hint="cs"/>
          <w:b/>
          <w:bCs/>
          <w:noProof w:val="0"/>
          <w:u w:val="single"/>
          <w:rtl/>
        </w:rPr>
        <w:t>שמיעת הקטינים</w:t>
      </w:r>
      <w:r>
        <w:rPr>
          <w:rFonts w:ascii="Arial" w:hAnsi="Arial" w:hint="cs"/>
          <w:noProof w:val="0"/>
          <w:rtl/>
        </w:rPr>
        <w:t xml:space="preserve"> - </w:t>
      </w:r>
      <w:r w:rsidR="0063626C">
        <w:rPr>
          <w:rFonts w:ascii="Arial" w:hAnsi="Arial" w:hint="cs"/>
          <w:noProof w:val="0"/>
          <w:rtl/>
        </w:rPr>
        <w:t>ביום 15/4/24 נשמעו הקטינים א</w:t>
      </w:r>
      <w:r w:rsidR="00CF7DA1">
        <w:rPr>
          <w:rFonts w:ascii="Arial" w:hAnsi="Arial" w:hint="cs"/>
          <w:noProof w:val="0"/>
          <w:rtl/>
        </w:rPr>
        <w:t>'</w:t>
      </w:r>
      <w:r w:rsidR="0063626C">
        <w:rPr>
          <w:rFonts w:ascii="Arial" w:hAnsi="Arial" w:hint="cs"/>
          <w:noProof w:val="0"/>
          <w:rtl/>
        </w:rPr>
        <w:t xml:space="preserve"> ופ</w:t>
      </w:r>
      <w:r w:rsidR="00CF7DA1">
        <w:rPr>
          <w:rFonts w:ascii="Arial" w:hAnsi="Arial" w:hint="cs"/>
          <w:noProof w:val="0"/>
          <w:rtl/>
        </w:rPr>
        <w:t xml:space="preserve">' </w:t>
      </w:r>
      <w:r w:rsidR="0063626C">
        <w:rPr>
          <w:rFonts w:ascii="Arial" w:hAnsi="Arial" w:hint="cs"/>
          <w:noProof w:val="0"/>
          <w:rtl/>
        </w:rPr>
        <w:t>בלשכתי. דברי הקטינים ורצונם נרשמו על גבי פרוטוקול חסוי, אשר מופקד בתיקיה פרטית.  מבלי לה</w:t>
      </w:r>
      <w:r w:rsidR="0080335D">
        <w:rPr>
          <w:rFonts w:ascii="Arial" w:hAnsi="Arial" w:hint="cs"/>
          <w:noProof w:val="0"/>
          <w:rtl/>
        </w:rPr>
        <w:t>י</w:t>
      </w:r>
      <w:r w:rsidR="0063626C">
        <w:rPr>
          <w:rFonts w:ascii="Arial" w:hAnsi="Arial" w:hint="cs"/>
          <w:noProof w:val="0"/>
          <w:rtl/>
        </w:rPr>
        <w:t xml:space="preserve">כנס לתוכן הדברים, אציין, </w:t>
      </w:r>
      <w:r w:rsidR="00272494">
        <w:rPr>
          <w:rFonts w:ascii="Arial" w:hAnsi="Arial" w:hint="cs"/>
          <w:noProof w:val="0"/>
          <w:rtl/>
        </w:rPr>
        <w:t xml:space="preserve">באופן כללי, </w:t>
      </w:r>
      <w:r w:rsidR="0063626C">
        <w:rPr>
          <w:rFonts w:ascii="Arial" w:hAnsi="Arial" w:hint="cs"/>
          <w:noProof w:val="0"/>
          <w:rtl/>
        </w:rPr>
        <w:t>כי שני הק</w:t>
      </w:r>
      <w:r w:rsidR="00272494">
        <w:rPr>
          <w:rFonts w:ascii="Arial" w:hAnsi="Arial" w:hint="cs"/>
          <w:noProof w:val="0"/>
          <w:rtl/>
        </w:rPr>
        <w:t>ט</w:t>
      </w:r>
      <w:r w:rsidR="0063626C">
        <w:rPr>
          <w:rFonts w:ascii="Arial" w:hAnsi="Arial" w:hint="cs"/>
          <w:noProof w:val="0"/>
          <w:rtl/>
        </w:rPr>
        <w:t xml:space="preserve">ינים </w:t>
      </w:r>
      <w:r w:rsidR="00272494">
        <w:rPr>
          <w:rFonts w:ascii="Arial" w:hAnsi="Arial" w:hint="cs"/>
          <w:noProof w:val="0"/>
          <w:rtl/>
        </w:rPr>
        <w:t xml:space="preserve"> הביעו רצון להישאר בישראל, ושניהם מתגעגעים לאחיהם א</w:t>
      </w:r>
      <w:r w:rsidR="00CF7DA1">
        <w:rPr>
          <w:rFonts w:ascii="Arial" w:hAnsi="Arial" w:hint="cs"/>
          <w:noProof w:val="0"/>
          <w:rtl/>
        </w:rPr>
        <w:t>.ל'</w:t>
      </w:r>
      <w:r w:rsidR="00272494">
        <w:rPr>
          <w:rFonts w:ascii="Arial" w:hAnsi="Arial" w:hint="cs"/>
          <w:noProof w:val="0"/>
          <w:rtl/>
        </w:rPr>
        <w:t xml:space="preserve"> ולאביהם התובע. </w:t>
      </w:r>
      <w:r w:rsidR="0080335D">
        <w:rPr>
          <w:rFonts w:ascii="Arial" w:hAnsi="Arial" w:hint="cs"/>
          <w:noProof w:val="0"/>
          <w:rtl/>
        </w:rPr>
        <w:t>הדברים באים לידי ביטוי באופן דומה לזה בו הובאו בחוו"ד האפ' לדין.</w:t>
      </w:r>
    </w:p>
    <w:p w:rsidR="00183BDE" w:rsidRPr="00183BDE" w:rsidRDefault="00183BDE" w:rsidP="00183BDE">
      <w:pPr>
        <w:pStyle w:val="ad"/>
        <w:rPr>
          <w:rFonts w:ascii="Arial" w:hAnsi="Arial"/>
          <w:noProof w:val="0"/>
          <w:rtl/>
        </w:rPr>
      </w:pPr>
    </w:p>
    <w:p w:rsidR="00270CFF" w:rsidRDefault="00270CFF" w:rsidP="00270CFF">
      <w:pPr>
        <w:pStyle w:val="ad"/>
        <w:spacing w:line="360" w:lineRule="auto"/>
        <w:jc w:val="both"/>
        <w:rPr>
          <w:rFonts w:ascii="Arial" w:hAnsi="Arial"/>
          <w:noProof w:val="0"/>
          <w:rtl/>
        </w:rPr>
      </w:pPr>
    </w:p>
    <w:p w:rsidR="0080335D" w:rsidRDefault="0080335D" w:rsidP="00270CFF">
      <w:pPr>
        <w:pStyle w:val="ad"/>
        <w:spacing w:line="360" w:lineRule="auto"/>
        <w:jc w:val="both"/>
        <w:rPr>
          <w:rFonts w:ascii="Arial" w:hAnsi="Arial"/>
          <w:noProof w:val="0"/>
        </w:rPr>
      </w:pPr>
    </w:p>
    <w:p w:rsidR="00270CFF" w:rsidRPr="00270CFF" w:rsidRDefault="00270CFF" w:rsidP="00270CFF">
      <w:pPr>
        <w:spacing w:line="360" w:lineRule="auto"/>
        <w:jc w:val="both"/>
        <w:rPr>
          <w:rFonts w:ascii="Arial" w:hAnsi="Arial"/>
          <w:b/>
          <w:bCs/>
          <w:noProof w:val="0"/>
          <w:u w:val="single"/>
        </w:rPr>
      </w:pPr>
      <w:r w:rsidRPr="00270CFF">
        <w:rPr>
          <w:rFonts w:ascii="Arial" w:hAnsi="Arial" w:hint="cs"/>
          <w:b/>
          <w:bCs/>
          <w:noProof w:val="0"/>
          <w:u w:val="single"/>
          <w:rtl/>
        </w:rPr>
        <w:lastRenderedPageBreak/>
        <w:t>תמצית ההליכים המשפטיים באוסטרליה:</w:t>
      </w:r>
    </w:p>
    <w:p w:rsidR="00270CFF" w:rsidRDefault="00270CFF" w:rsidP="00270CFF">
      <w:pPr>
        <w:pStyle w:val="ad"/>
        <w:spacing w:line="360" w:lineRule="auto"/>
        <w:jc w:val="both"/>
        <w:rPr>
          <w:rFonts w:ascii="Arial" w:hAnsi="Arial"/>
          <w:noProof w:val="0"/>
        </w:rPr>
      </w:pPr>
    </w:p>
    <w:p w:rsidR="009371A6" w:rsidRDefault="009371A6" w:rsidP="00CF7DA1">
      <w:pPr>
        <w:pStyle w:val="ad"/>
        <w:numPr>
          <w:ilvl w:val="0"/>
          <w:numId w:val="1"/>
        </w:numPr>
        <w:spacing w:line="360" w:lineRule="auto"/>
        <w:jc w:val="both"/>
        <w:rPr>
          <w:rFonts w:ascii="Arial" w:hAnsi="Arial"/>
          <w:noProof w:val="0"/>
        </w:rPr>
      </w:pPr>
      <w:r>
        <w:rPr>
          <w:rFonts w:ascii="Arial" w:hAnsi="Arial" w:hint="cs"/>
          <w:noProof w:val="0"/>
          <w:rtl/>
        </w:rPr>
        <w:t xml:space="preserve">ביום 11/7/24 לאחר שהאם </w:t>
      </w:r>
      <w:r w:rsidR="0080335D">
        <w:rPr>
          <w:rFonts w:ascii="Arial" w:hAnsi="Arial" w:hint="cs"/>
          <w:noProof w:val="0"/>
          <w:rtl/>
        </w:rPr>
        <w:t xml:space="preserve">נסעה לישראל עם </w:t>
      </w:r>
      <w:r>
        <w:rPr>
          <w:rFonts w:ascii="Arial" w:hAnsi="Arial" w:hint="cs"/>
          <w:noProof w:val="0"/>
          <w:rtl/>
        </w:rPr>
        <w:t>שניים מהילדים</w:t>
      </w:r>
      <w:r w:rsidR="0080335D">
        <w:rPr>
          <w:rFonts w:ascii="Arial" w:hAnsi="Arial" w:hint="cs"/>
          <w:noProof w:val="0"/>
          <w:rtl/>
        </w:rPr>
        <w:t>,</w:t>
      </w:r>
      <w:r>
        <w:rPr>
          <w:rFonts w:ascii="Arial" w:hAnsi="Arial" w:hint="cs"/>
          <w:noProof w:val="0"/>
          <w:rtl/>
        </w:rPr>
        <w:t xml:space="preserve"> א</w:t>
      </w:r>
      <w:r w:rsidR="00CF7DA1">
        <w:rPr>
          <w:rFonts w:ascii="Arial" w:hAnsi="Arial" w:hint="cs"/>
          <w:noProof w:val="0"/>
          <w:rtl/>
        </w:rPr>
        <w:t>'</w:t>
      </w:r>
      <w:r>
        <w:rPr>
          <w:rFonts w:ascii="Arial" w:hAnsi="Arial" w:hint="cs"/>
          <w:noProof w:val="0"/>
          <w:rtl/>
        </w:rPr>
        <w:t xml:space="preserve"> ופ</w:t>
      </w:r>
      <w:r w:rsidR="00CF7DA1">
        <w:rPr>
          <w:rFonts w:ascii="Arial" w:hAnsi="Arial" w:hint="cs"/>
          <w:noProof w:val="0"/>
          <w:rtl/>
        </w:rPr>
        <w:t>'</w:t>
      </w:r>
      <w:r>
        <w:rPr>
          <w:rFonts w:ascii="Arial" w:hAnsi="Arial" w:hint="cs"/>
          <w:noProof w:val="0"/>
          <w:rtl/>
        </w:rPr>
        <w:t xml:space="preserve">, הגיש האב בקשה לדיון דחוף בבית משפט לענייני משפחה בסידני אוסטרליה. </w:t>
      </w:r>
      <w:r w:rsidR="006876F6">
        <w:rPr>
          <w:rFonts w:ascii="Arial" w:hAnsi="Arial" w:hint="cs"/>
          <w:noProof w:val="0"/>
          <w:rtl/>
        </w:rPr>
        <w:t xml:space="preserve">האב </w:t>
      </w:r>
      <w:r>
        <w:rPr>
          <w:rFonts w:ascii="Arial" w:hAnsi="Arial" w:hint="cs"/>
          <w:noProof w:val="0"/>
          <w:rtl/>
        </w:rPr>
        <w:t>עתר לקבלת צווים זמניים להורות כי לבית משפט באוסטרליה סמכות שיפוט לדון בענייני הצדדים, לרבות מקום מגורי הקטינים באוסטרליה, קביעת אחריות הורית בלעדית ומתן הוראה להשבת הקטינים לאוסטרליה.</w:t>
      </w:r>
    </w:p>
    <w:p w:rsidR="00270CFF" w:rsidRDefault="009371A6" w:rsidP="009371A6">
      <w:pPr>
        <w:pStyle w:val="ad"/>
        <w:spacing w:line="360" w:lineRule="auto"/>
        <w:jc w:val="both"/>
        <w:rPr>
          <w:rFonts w:ascii="Arial" w:hAnsi="Arial"/>
          <w:noProof w:val="0"/>
        </w:rPr>
      </w:pPr>
      <w:r>
        <w:rPr>
          <w:rFonts w:ascii="Arial" w:hAnsi="Arial" w:hint="cs"/>
          <w:noProof w:val="0"/>
          <w:rtl/>
        </w:rPr>
        <w:t xml:space="preserve"> </w:t>
      </w:r>
    </w:p>
    <w:p w:rsidR="00270CFF" w:rsidRDefault="009371A6" w:rsidP="00CF7DA1">
      <w:pPr>
        <w:pStyle w:val="ad"/>
        <w:numPr>
          <w:ilvl w:val="0"/>
          <w:numId w:val="1"/>
        </w:numPr>
        <w:spacing w:line="360" w:lineRule="auto"/>
        <w:jc w:val="both"/>
        <w:rPr>
          <w:rFonts w:ascii="Arial" w:hAnsi="Arial"/>
          <w:noProof w:val="0"/>
        </w:rPr>
      </w:pPr>
      <w:r>
        <w:rPr>
          <w:rFonts w:ascii="Arial" w:hAnsi="Arial" w:hint="cs"/>
          <w:noProof w:val="0"/>
          <w:rtl/>
        </w:rPr>
        <w:t>האם מנגד, הגישה בקשה לצו אכיפת הסכם הגירושין, ועתרה להעברתו של הבן א</w:t>
      </w:r>
      <w:r w:rsidR="00CF7DA1">
        <w:rPr>
          <w:rFonts w:ascii="Arial" w:hAnsi="Arial" w:hint="cs"/>
          <w:noProof w:val="0"/>
          <w:rtl/>
        </w:rPr>
        <w:t>.ל'</w:t>
      </w:r>
      <w:r>
        <w:rPr>
          <w:rFonts w:ascii="Arial" w:hAnsi="Arial" w:hint="cs"/>
          <w:noProof w:val="0"/>
          <w:rtl/>
        </w:rPr>
        <w:t xml:space="preserve"> לחזקתה.</w:t>
      </w:r>
    </w:p>
    <w:p w:rsidR="009371A6" w:rsidRPr="009371A6" w:rsidRDefault="009371A6" w:rsidP="009371A6">
      <w:pPr>
        <w:pStyle w:val="ad"/>
        <w:rPr>
          <w:rFonts w:ascii="Arial" w:hAnsi="Arial"/>
          <w:noProof w:val="0"/>
          <w:rtl/>
        </w:rPr>
      </w:pPr>
    </w:p>
    <w:p w:rsidR="00B642F2" w:rsidRPr="006876F6" w:rsidRDefault="009371A6" w:rsidP="00CF7DA1">
      <w:pPr>
        <w:pStyle w:val="ad"/>
        <w:numPr>
          <w:ilvl w:val="0"/>
          <w:numId w:val="1"/>
        </w:numPr>
        <w:spacing w:line="360" w:lineRule="auto"/>
        <w:jc w:val="both"/>
        <w:rPr>
          <w:rFonts w:ascii="Arial" w:hAnsi="Arial"/>
          <w:noProof w:val="0"/>
        </w:rPr>
      </w:pPr>
      <w:r>
        <w:rPr>
          <w:rFonts w:ascii="Arial" w:hAnsi="Arial" w:hint="cs"/>
          <w:noProof w:val="0"/>
          <w:rtl/>
        </w:rPr>
        <w:t>ביום 2/2/24 התקיים דיון,</w:t>
      </w:r>
      <w:r w:rsidR="006876F6">
        <w:rPr>
          <w:rFonts w:ascii="Arial" w:hAnsi="Arial" w:hint="cs"/>
          <w:noProof w:val="0"/>
          <w:rtl/>
        </w:rPr>
        <w:t xml:space="preserve"> וביום 12/2/24 ניתן פסק דין בבית המשפט הפדרלי לענייני משפחה של אוסטרליה בתיק 7224/18. </w:t>
      </w:r>
      <w:r>
        <w:rPr>
          <w:rFonts w:ascii="Arial" w:hAnsi="Arial" w:hint="cs"/>
          <w:noProof w:val="0"/>
          <w:rtl/>
        </w:rPr>
        <w:t xml:space="preserve"> </w:t>
      </w:r>
      <w:r w:rsidR="006876F6">
        <w:rPr>
          <w:rFonts w:ascii="Arial" w:hAnsi="Arial" w:hint="cs"/>
          <w:noProof w:val="0"/>
          <w:rtl/>
        </w:rPr>
        <w:t xml:space="preserve">בפסק הדין, </w:t>
      </w:r>
      <w:r>
        <w:rPr>
          <w:rFonts w:ascii="Arial" w:hAnsi="Arial" w:hint="cs"/>
          <w:noProof w:val="0"/>
          <w:rtl/>
        </w:rPr>
        <w:t>קבע בית המשפט כי דין הבקשה בעניין א</w:t>
      </w:r>
      <w:r w:rsidR="00CF7DA1">
        <w:rPr>
          <w:rFonts w:ascii="Arial" w:hAnsi="Arial" w:hint="cs"/>
          <w:noProof w:val="0"/>
          <w:rtl/>
        </w:rPr>
        <w:t>'</w:t>
      </w:r>
      <w:r>
        <w:rPr>
          <w:rFonts w:ascii="Arial" w:hAnsi="Arial" w:hint="cs"/>
          <w:noProof w:val="0"/>
          <w:rtl/>
        </w:rPr>
        <w:t xml:space="preserve"> ופ</w:t>
      </w:r>
      <w:r w:rsidR="00CF7DA1">
        <w:rPr>
          <w:rFonts w:ascii="Arial" w:hAnsi="Arial" w:hint="cs"/>
          <w:noProof w:val="0"/>
          <w:rtl/>
        </w:rPr>
        <w:t>'</w:t>
      </w:r>
      <w:r>
        <w:rPr>
          <w:rFonts w:ascii="Arial" w:hAnsi="Arial" w:hint="cs"/>
          <w:noProof w:val="0"/>
          <w:rtl/>
        </w:rPr>
        <w:t xml:space="preserve"> להידחות, שכן בית משפט באוסטרליה נעדר סמכות לדון בעניינם של קטינים שאינם נמצאים פיזית באוסטרליה, זאת מאחר וישראל אינה חתומה על האמנה המאפשרת זאת.  עוד נקבע בהחלטה כי מקום מגורי הקטינים היה באוסטרליה עד מעבר האם</w:t>
      </w:r>
      <w:r w:rsidR="00561849">
        <w:rPr>
          <w:rFonts w:ascii="Arial" w:hAnsi="Arial" w:hint="cs"/>
          <w:noProof w:val="0"/>
          <w:rtl/>
        </w:rPr>
        <w:t xml:space="preserve"> לישראל. ביחס לא</w:t>
      </w:r>
      <w:r w:rsidR="00CF7DA1">
        <w:rPr>
          <w:rFonts w:ascii="Arial" w:hAnsi="Arial" w:hint="cs"/>
          <w:noProof w:val="0"/>
          <w:rtl/>
        </w:rPr>
        <w:t>.ל'</w:t>
      </w:r>
      <w:r w:rsidR="00561849">
        <w:rPr>
          <w:rFonts w:ascii="Arial" w:hAnsi="Arial" w:hint="cs"/>
          <w:noProof w:val="0"/>
          <w:rtl/>
        </w:rPr>
        <w:t xml:space="preserve">, ציין בית המשפט כי קיימת סמכות שיפוט, ובין יתר הנימוקים ניתנה התייחסות לגילו המבוגר יחסית, 13, ולעובדה כי יש ליתן משקל לעמדתו לפיה הוא אינו מעוניין לעבור להתגורר בישראל.  </w:t>
      </w:r>
      <w:r>
        <w:rPr>
          <w:rFonts w:ascii="Arial" w:hAnsi="Arial" w:hint="cs"/>
          <w:noProof w:val="0"/>
          <w:rtl/>
        </w:rPr>
        <w:t xml:space="preserve"> </w:t>
      </w:r>
      <w:r w:rsidR="00260F78">
        <w:rPr>
          <w:rFonts w:ascii="Arial" w:hAnsi="Arial" w:hint="cs"/>
          <w:noProof w:val="0"/>
          <w:rtl/>
        </w:rPr>
        <w:t>בית המשפט ציין כי הצדדים לא התכוונו להפריד בין שלושת האחים, ועצם הפירוד מהווה שינוי נסיבות המצדית התערבות בית משפט, ומשכך, התווה את אופן המשך ההליך, לרבות מינוי מומחה לצורך הגשת חוו"ד / תסקיר, וכן מינוי אפ' לדין עצמאי לא</w:t>
      </w:r>
      <w:r w:rsidR="00CF7DA1">
        <w:rPr>
          <w:rFonts w:ascii="Arial" w:hAnsi="Arial" w:hint="cs"/>
          <w:noProof w:val="0"/>
          <w:rtl/>
        </w:rPr>
        <w:t>.</w:t>
      </w:r>
      <w:r w:rsidR="00260F78">
        <w:rPr>
          <w:rFonts w:ascii="Arial" w:hAnsi="Arial" w:hint="cs"/>
          <w:noProof w:val="0"/>
          <w:rtl/>
        </w:rPr>
        <w:t>ל</w:t>
      </w:r>
      <w:r w:rsidR="00CF7DA1">
        <w:rPr>
          <w:rFonts w:ascii="Arial" w:hAnsi="Arial" w:hint="cs"/>
          <w:noProof w:val="0"/>
          <w:rtl/>
        </w:rPr>
        <w:t>'</w:t>
      </w:r>
      <w:r w:rsidR="00260F78">
        <w:rPr>
          <w:rFonts w:ascii="Arial" w:hAnsi="Arial" w:hint="cs"/>
          <w:noProof w:val="0"/>
          <w:rtl/>
        </w:rPr>
        <w:t xml:space="preserve">. </w:t>
      </w:r>
      <w:r w:rsidR="006876F6">
        <w:rPr>
          <w:rFonts w:ascii="Arial" w:hAnsi="Arial" w:hint="cs"/>
          <w:noProof w:val="0"/>
          <w:rtl/>
        </w:rPr>
        <w:t xml:space="preserve">  </w:t>
      </w:r>
      <w:r w:rsidR="00B642F2" w:rsidRPr="006876F6">
        <w:rPr>
          <w:rFonts w:ascii="Arial" w:hAnsi="Arial" w:hint="cs"/>
          <w:noProof w:val="0"/>
          <w:rtl/>
        </w:rPr>
        <w:t>ביום 17/4/24 הוגש לתיק תרגום נוטריוני לעברית של אותו פסק דין. במסגרת פסק הדין נקבע כדלקמן:</w:t>
      </w:r>
    </w:p>
    <w:p w:rsidR="00B642F2" w:rsidRPr="00B642F2" w:rsidRDefault="00B642F2" w:rsidP="00B642F2">
      <w:pPr>
        <w:pStyle w:val="ad"/>
        <w:rPr>
          <w:rFonts w:ascii="Arial" w:hAnsi="Arial"/>
          <w:noProof w:val="0"/>
          <w:rtl/>
        </w:rPr>
      </w:pPr>
    </w:p>
    <w:p w:rsidR="00B642F2" w:rsidRDefault="00B642F2" w:rsidP="00B642F2">
      <w:pPr>
        <w:pStyle w:val="ad"/>
        <w:spacing w:line="360" w:lineRule="auto"/>
        <w:jc w:val="both"/>
        <w:rPr>
          <w:rFonts w:ascii="Arial" w:hAnsi="Arial"/>
          <w:noProof w:val="0"/>
        </w:rPr>
      </w:pPr>
      <w:r>
        <w:drawing>
          <wp:inline distT="0" distB="0" distL="0" distR="0" wp14:anchorId="35C0DC54" wp14:editId="7DD51079">
            <wp:extent cx="4253753" cy="1841042"/>
            <wp:effectExtent l="0" t="0" r="0" b="6985"/>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57807" cy="1842797"/>
                    </a:xfrm>
                    <a:prstGeom prst="rect">
                      <a:avLst/>
                    </a:prstGeom>
                  </pic:spPr>
                </pic:pic>
              </a:graphicData>
            </a:graphic>
          </wp:inline>
        </w:drawing>
      </w:r>
    </w:p>
    <w:p w:rsidR="00653ADB" w:rsidRDefault="00B642F2" w:rsidP="00B642F2">
      <w:pPr>
        <w:pStyle w:val="ad"/>
        <w:spacing w:line="360" w:lineRule="auto"/>
        <w:jc w:val="both"/>
        <w:rPr>
          <w:rFonts w:ascii="Arial" w:hAnsi="Arial"/>
          <w:noProof w:val="0"/>
        </w:rPr>
      </w:pPr>
      <w:r>
        <w:lastRenderedPageBreak/>
        <w:drawing>
          <wp:inline distT="0" distB="0" distL="0" distR="0" wp14:anchorId="39C25785" wp14:editId="18665428">
            <wp:extent cx="5400675" cy="5052695"/>
            <wp:effectExtent l="0" t="0" r="9525"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675" cy="5052695"/>
                    </a:xfrm>
                    <a:prstGeom prst="rect">
                      <a:avLst/>
                    </a:prstGeom>
                  </pic:spPr>
                </pic:pic>
              </a:graphicData>
            </a:graphic>
          </wp:inline>
        </w:drawing>
      </w:r>
      <w:r>
        <w:rPr>
          <w:rFonts w:ascii="Arial" w:hAnsi="Arial" w:hint="cs"/>
          <w:noProof w:val="0"/>
          <w:rtl/>
        </w:rPr>
        <w:t xml:space="preserve"> </w:t>
      </w:r>
    </w:p>
    <w:p w:rsidR="009371A6" w:rsidRDefault="00984F1E" w:rsidP="009371A6">
      <w:pPr>
        <w:pStyle w:val="ad"/>
        <w:rPr>
          <w:rFonts w:ascii="Arial" w:hAnsi="Arial"/>
          <w:noProof w:val="0"/>
          <w:rtl/>
        </w:rPr>
      </w:pPr>
      <w:r>
        <w:rPr>
          <w:rFonts w:ascii="Arial" w:hAnsi="Arial" w:hint="cs"/>
          <w:noProof w:val="0"/>
          <w:rtl/>
        </w:rPr>
        <w:t>......</w:t>
      </w:r>
    </w:p>
    <w:p w:rsidR="00984F1E" w:rsidRDefault="00984F1E" w:rsidP="009371A6">
      <w:pPr>
        <w:pStyle w:val="ad"/>
        <w:rPr>
          <w:rFonts w:ascii="Arial" w:hAnsi="Arial"/>
          <w:noProof w:val="0"/>
          <w:rtl/>
        </w:rPr>
      </w:pPr>
    </w:p>
    <w:p w:rsidR="00984F1E" w:rsidRPr="00260F78" w:rsidRDefault="00984F1E" w:rsidP="009371A6">
      <w:pPr>
        <w:pStyle w:val="ad"/>
        <w:rPr>
          <w:rFonts w:ascii="Arial" w:hAnsi="Arial"/>
          <w:noProof w:val="0"/>
        </w:rPr>
      </w:pPr>
      <w:r>
        <w:drawing>
          <wp:inline distT="0" distB="0" distL="0" distR="0" wp14:anchorId="1EB5CB04" wp14:editId="44CDBB99">
            <wp:extent cx="5400675" cy="1944370"/>
            <wp:effectExtent l="0" t="0" r="9525"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675" cy="1944370"/>
                    </a:xfrm>
                    <a:prstGeom prst="rect">
                      <a:avLst/>
                    </a:prstGeom>
                  </pic:spPr>
                </pic:pic>
              </a:graphicData>
            </a:graphic>
          </wp:inline>
        </w:drawing>
      </w:r>
    </w:p>
    <w:p w:rsidR="009371A6" w:rsidRDefault="00DC02B0" w:rsidP="009371A6">
      <w:pPr>
        <w:pStyle w:val="ad"/>
        <w:spacing w:line="360" w:lineRule="auto"/>
        <w:jc w:val="both"/>
        <w:rPr>
          <w:rFonts w:ascii="Arial" w:hAnsi="Arial"/>
          <w:noProof w:val="0"/>
          <w:rtl/>
        </w:rPr>
      </w:pPr>
      <w:r>
        <w:rPr>
          <w:rFonts w:ascii="Arial" w:hAnsi="Arial" w:hint="cs"/>
          <w:noProof w:val="0"/>
          <w:rtl/>
        </w:rPr>
        <w:t>.......</w:t>
      </w:r>
    </w:p>
    <w:p w:rsidR="00DC02B0" w:rsidRDefault="00DC02B0" w:rsidP="009371A6">
      <w:pPr>
        <w:pStyle w:val="ad"/>
        <w:spacing w:line="360" w:lineRule="auto"/>
        <w:jc w:val="both"/>
        <w:rPr>
          <w:rFonts w:ascii="Arial" w:hAnsi="Arial"/>
          <w:noProof w:val="0"/>
        </w:rPr>
      </w:pPr>
      <w:r>
        <w:lastRenderedPageBreak/>
        <w:drawing>
          <wp:inline distT="0" distB="0" distL="0" distR="0" wp14:anchorId="0D94B5D6" wp14:editId="5A70F2E2">
            <wp:extent cx="5400675" cy="1085850"/>
            <wp:effectExtent l="0" t="0" r="9525"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00675" cy="1085850"/>
                    </a:xfrm>
                    <a:prstGeom prst="rect">
                      <a:avLst/>
                    </a:prstGeom>
                  </pic:spPr>
                </pic:pic>
              </a:graphicData>
            </a:graphic>
          </wp:inline>
        </w:drawing>
      </w:r>
    </w:p>
    <w:p w:rsidR="00DC02B0" w:rsidRDefault="00DC02B0" w:rsidP="00DC02B0">
      <w:pPr>
        <w:pStyle w:val="ad"/>
        <w:spacing w:line="360" w:lineRule="auto"/>
        <w:jc w:val="both"/>
        <w:rPr>
          <w:rFonts w:ascii="Arial" w:hAnsi="Arial"/>
          <w:noProof w:val="0"/>
        </w:rPr>
      </w:pPr>
    </w:p>
    <w:p w:rsidR="00BD3E50" w:rsidRDefault="00BD3E50" w:rsidP="006876F6">
      <w:pPr>
        <w:pStyle w:val="ad"/>
        <w:numPr>
          <w:ilvl w:val="0"/>
          <w:numId w:val="1"/>
        </w:numPr>
        <w:spacing w:line="360" w:lineRule="auto"/>
        <w:jc w:val="both"/>
        <w:rPr>
          <w:rFonts w:ascii="Arial" w:hAnsi="Arial"/>
          <w:noProof w:val="0"/>
        </w:rPr>
      </w:pPr>
      <w:r>
        <w:rPr>
          <w:rFonts w:ascii="Arial" w:hAnsi="Arial" w:hint="cs"/>
          <w:noProof w:val="0"/>
          <w:rtl/>
        </w:rPr>
        <w:t>תמצית פסק הדין הנה כדלקמן:</w:t>
      </w:r>
    </w:p>
    <w:p w:rsidR="002A2D96" w:rsidRDefault="002A2D96" w:rsidP="002A2D96">
      <w:pPr>
        <w:pStyle w:val="ad"/>
        <w:numPr>
          <w:ilvl w:val="0"/>
          <w:numId w:val="7"/>
        </w:numPr>
        <w:spacing w:line="360" w:lineRule="auto"/>
        <w:jc w:val="both"/>
        <w:rPr>
          <w:rFonts w:ascii="Arial" w:hAnsi="Arial"/>
          <w:noProof w:val="0"/>
        </w:rPr>
      </w:pPr>
      <w:r>
        <w:rPr>
          <w:rFonts w:ascii="Arial" w:hAnsi="Arial" w:hint="cs"/>
          <w:noProof w:val="0"/>
          <w:rtl/>
        </w:rPr>
        <w:t>מעבר האם לישראל נעשה כדין ובהתאם להוראות הסכם הגירושין, זאת למרות שבוצע עם שניים מהקטינים ולא עם כולם [ס' 53, 54, וכן 62].</w:t>
      </w:r>
    </w:p>
    <w:p w:rsidR="002A2D96" w:rsidRDefault="002A2D96" w:rsidP="00AF41E4">
      <w:pPr>
        <w:pStyle w:val="ad"/>
        <w:numPr>
          <w:ilvl w:val="0"/>
          <w:numId w:val="7"/>
        </w:numPr>
        <w:spacing w:line="360" w:lineRule="auto"/>
        <w:jc w:val="both"/>
        <w:rPr>
          <w:rFonts w:ascii="Arial" w:hAnsi="Arial"/>
          <w:noProof w:val="0"/>
        </w:rPr>
      </w:pPr>
      <w:r>
        <w:rPr>
          <w:rFonts w:ascii="Arial" w:hAnsi="Arial" w:hint="cs"/>
          <w:noProof w:val="0"/>
          <w:rtl/>
        </w:rPr>
        <w:t>מקום המגורים הרגיל של א</w:t>
      </w:r>
      <w:r w:rsidR="00AF41E4">
        <w:rPr>
          <w:rFonts w:ascii="Arial" w:hAnsi="Arial" w:hint="cs"/>
          <w:noProof w:val="0"/>
          <w:rtl/>
        </w:rPr>
        <w:t>' ופ'</w:t>
      </w:r>
      <w:r>
        <w:rPr>
          <w:rFonts w:ascii="Arial" w:hAnsi="Arial" w:hint="cs"/>
          <w:noProof w:val="0"/>
          <w:rtl/>
        </w:rPr>
        <w:t xml:space="preserve"> הוא בישראל [ס' 48].</w:t>
      </w:r>
    </w:p>
    <w:p w:rsidR="002A2D96" w:rsidRDefault="002A2D96" w:rsidP="002A2D96">
      <w:pPr>
        <w:pStyle w:val="ad"/>
        <w:numPr>
          <w:ilvl w:val="0"/>
          <w:numId w:val="7"/>
        </w:numPr>
        <w:spacing w:line="360" w:lineRule="auto"/>
        <w:jc w:val="both"/>
        <w:rPr>
          <w:rFonts w:ascii="Arial" w:hAnsi="Arial"/>
          <w:noProof w:val="0"/>
        </w:rPr>
      </w:pPr>
      <w:r>
        <w:rPr>
          <w:rFonts w:ascii="Arial" w:hAnsi="Arial" w:hint="cs"/>
          <w:noProof w:val="0"/>
          <w:rtl/>
        </w:rPr>
        <w:t>התובע לא נקט בהליך לשינוי הוראות ההסכם למרות שהיה מודע להן [ס' 54].</w:t>
      </w:r>
    </w:p>
    <w:p w:rsidR="002A2D96" w:rsidRDefault="002A2D96" w:rsidP="002A2D96">
      <w:pPr>
        <w:pStyle w:val="ad"/>
        <w:numPr>
          <w:ilvl w:val="0"/>
          <w:numId w:val="7"/>
        </w:numPr>
        <w:spacing w:line="360" w:lineRule="auto"/>
        <w:jc w:val="both"/>
        <w:rPr>
          <w:rFonts w:ascii="Arial" w:hAnsi="Arial"/>
          <w:noProof w:val="0"/>
        </w:rPr>
      </w:pPr>
      <w:r>
        <w:rPr>
          <w:rFonts w:ascii="Arial" w:hAnsi="Arial" w:hint="cs"/>
          <w:noProof w:val="0"/>
          <w:rtl/>
        </w:rPr>
        <w:t xml:space="preserve">התובע הפר את הוראות ההסכם בכך שהוא מחזיק בבן </w:t>
      </w:r>
      <w:r w:rsidR="00873C5D">
        <w:rPr>
          <w:rFonts w:ascii="Arial" w:hAnsi="Arial" w:hint="cs"/>
          <w:noProof w:val="0"/>
          <w:rtl/>
        </w:rPr>
        <w:t>א.ל</w:t>
      </w:r>
      <w:r w:rsidR="00873C5D">
        <w:rPr>
          <w:rFonts w:ascii="Arial" w:hAnsi="Arial"/>
          <w:noProof w:val="0"/>
          <w:rtl/>
        </w:rPr>
        <w:t>'</w:t>
      </w:r>
      <w:r>
        <w:rPr>
          <w:rFonts w:ascii="Arial" w:hAnsi="Arial" w:hint="cs"/>
          <w:noProof w:val="0"/>
          <w:rtl/>
        </w:rPr>
        <w:t xml:space="preserve"> [ס' 61]</w:t>
      </w:r>
    </w:p>
    <w:p w:rsidR="00BD3E50" w:rsidRDefault="00BD3E50" w:rsidP="00BD3E50">
      <w:pPr>
        <w:pStyle w:val="ad"/>
        <w:spacing w:line="360" w:lineRule="auto"/>
        <w:jc w:val="both"/>
        <w:rPr>
          <w:rFonts w:ascii="Arial" w:hAnsi="Arial"/>
          <w:noProof w:val="0"/>
        </w:rPr>
      </w:pPr>
    </w:p>
    <w:p w:rsidR="00BD3E50" w:rsidRDefault="00BD3E50" w:rsidP="006876F6">
      <w:pPr>
        <w:pStyle w:val="ad"/>
        <w:numPr>
          <w:ilvl w:val="0"/>
          <w:numId w:val="1"/>
        </w:numPr>
        <w:spacing w:line="360" w:lineRule="auto"/>
        <w:jc w:val="both"/>
        <w:rPr>
          <w:rFonts w:ascii="Arial" w:hAnsi="Arial"/>
          <w:noProof w:val="0"/>
        </w:rPr>
      </w:pPr>
      <w:r>
        <w:rPr>
          <w:rFonts w:ascii="Arial" w:hAnsi="Arial" w:hint="cs"/>
          <w:noProof w:val="0"/>
          <w:rtl/>
        </w:rPr>
        <w:t xml:space="preserve">בסיכומיה, מפנה הנתבעת להוראות </w:t>
      </w:r>
      <w:r w:rsidR="002A2D96">
        <w:rPr>
          <w:rFonts w:ascii="Arial" w:hAnsi="Arial" w:hint="cs"/>
          <w:noProof w:val="0"/>
          <w:rtl/>
        </w:rPr>
        <w:t xml:space="preserve">תקנה 116 לתקנות משפחה, אשר לפיהן רשאי בית המשפט להביא בין יתר שיקוליו, החלטה שיפוטית או מנהלית שניתנה במדינת המוצא. </w:t>
      </w:r>
    </w:p>
    <w:p w:rsidR="00BD3E50" w:rsidRDefault="00BD3E50" w:rsidP="00577BC5">
      <w:pPr>
        <w:spacing w:line="360" w:lineRule="auto"/>
        <w:jc w:val="both"/>
        <w:rPr>
          <w:rFonts w:ascii="Arial" w:hAnsi="Arial"/>
          <w:noProof w:val="0"/>
          <w:rtl/>
        </w:rPr>
      </w:pPr>
    </w:p>
    <w:p w:rsidR="00577BC5" w:rsidRPr="00577BC5" w:rsidRDefault="00577BC5" w:rsidP="00577BC5">
      <w:pPr>
        <w:spacing w:line="360" w:lineRule="auto"/>
        <w:jc w:val="both"/>
        <w:rPr>
          <w:rFonts w:ascii="Arial" w:hAnsi="Arial"/>
          <w:b/>
          <w:bCs/>
          <w:noProof w:val="0"/>
          <w:u w:val="single"/>
          <w:rtl/>
        </w:rPr>
      </w:pPr>
      <w:r w:rsidRPr="00577BC5">
        <w:rPr>
          <w:rFonts w:ascii="Arial" w:hAnsi="Arial" w:hint="cs"/>
          <w:b/>
          <w:bCs/>
          <w:noProof w:val="0"/>
          <w:u w:val="single"/>
          <w:rtl/>
        </w:rPr>
        <w:t>ראיות הצדדים:</w:t>
      </w:r>
    </w:p>
    <w:p w:rsidR="00577BC5" w:rsidRPr="00577BC5" w:rsidRDefault="00577BC5" w:rsidP="00577BC5">
      <w:pPr>
        <w:spacing w:line="360" w:lineRule="auto"/>
        <w:ind w:left="360"/>
        <w:jc w:val="both"/>
        <w:rPr>
          <w:rFonts w:ascii="Arial" w:hAnsi="Arial"/>
          <w:noProof w:val="0"/>
        </w:rPr>
      </w:pPr>
    </w:p>
    <w:p w:rsidR="00DC02B0" w:rsidRDefault="00DC02B0" w:rsidP="006876F6">
      <w:pPr>
        <w:pStyle w:val="ad"/>
        <w:numPr>
          <w:ilvl w:val="0"/>
          <w:numId w:val="1"/>
        </w:numPr>
        <w:spacing w:line="360" w:lineRule="auto"/>
        <w:jc w:val="both"/>
        <w:rPr>
          <w:rFonts w:ascii="Arial" w:hAnsi="Arial"/>
          <w:noProof w:val="0"/>
        </w:rPr>
      </w:pPr>
      <w:r>
        <w:rPr>
          <w:rFonts w:ascii="Arial" w:hAnsi="Arial" w:hint="cs"/>
          <w:noProof w:val="0"/>
          <w:rtl/>
        </w:rPr>
        <w:t>ביום 30/4/24 נשמעו ראיות הצדדים, כאשר התובע משתתף בדיון ממקום מושבו באוסטרליה, באמצעות הוועדות חזותית.</w:t>
      </w:r>
      <w:r w:rsidR="00AF044B">
        <w:rPr>
          <w:rFonts w:ascii="Arial" w:hAnsi="Arial" w:hint="cs"/>
          <w:noProof w:val="0"/>
          <w:rtl/>
        </w:rPr>
        <w:t xml:space="preserve">  מטעם התביעה העיד התובע עצמו, ונחקר ע"י ב"כ הנתבעת וכן ע"י האפ' לדין.  מטעם ההגנה, העידה הנתבעת עצמה. </w:t>
      </w:r>
      <w:r w:rsidR="00AD3545">
        <w:rPr>
          <w:rFonts w:ascii="Arial" w:hAnsi="Arial" w:hint="cs"/>
          <w:noProof w:val="0"/>
          <w:rtl/>
        </w:rPr>
        <w:t xml:space="preserve"> כאמור לעיל, סיכומי הצדדים הוגשו [בהיקף ניכר ויוצא דופן], וכעת נדרשת הכרעה. </w:t>
      </w:r>
    </w:p>
    <w:p w:rsidR="00836751" w:rsidRDefault="00836751" w:rsidP="00DF1A36">
      <w:pPr>
        <w:pStyle w:val="ad"/>
        <w:spacing w:line="360" w:lineRule="auto"/>
        <w:jc w:val="both"/>
        <w:rPr>
          <w:rFonts w:ascii="Arial" w:hAnsi="Arial"/>
          <w:noProof w:val="0"/>
        </w:rPr>
      </w:pPr>
    </w:p>
    <w:p w:rsidR="00DF1A36" w:rsidRDefault="00DF1A36" w:rsidP="006876F6">
      <w:pPr>
        <w:spacing w:line="360" w:lineRule="auto"/>
        <w:jc w:val="both"/>
        <w:rPr>
          <w:rFonts w:ascii="Arial" w:hAnsi="Arial"/>
          <w:b/>
          <w:bCs/>
          <w:noProof w:val="0"/>
          <w:u w:val="single"/>
        </w:rPr>
      </w:pPr>
      <w:r>
        <w:rPr>
          <w:rFonts w:ascii="Arial" w:hAnsi="Arial"/>
          <w:b/>
          <w:bCs/>
          <w:noProof w:val="0"/>
          <w:u w:val="single"/>
          <w:rtl/>
        </w:rPr>
        <w:t>דיון:</w:t>
      </w:r>
    </w:p>
    <w:p w:rsidR="00DF1A36" w:rsidRDefault="00DF1A36" w:rsidP="00DF1A36">
      <w:pPr>
        <w:pStyle w:val="ad"/>
        <w:spacing w:line="360" w:lineRule="auto"/>
        <w:jc w:val="both"/>
        <w:rPr>
          <w:rFonts w:ascii="Arial" w:hAnsi="Arial"/>
          <w:noProof w:val="0"/>
          <w:rtl/>
        </w:rPr>
      </w:pPr>
    </w:p>
    <w:p w:rsidR="00DF1A36" w:rsidRDefault="00DF1A36" w:rsidP="00CF3854">
      <w:pPr>
        <w:pStyle w:val="ad"/>
        <w:numPr>
          <w:ilvl w:val="0"/>
          <w:numId w:val="1"/>
        </w:numPr>
        <w:spacing w:line="360" w:lineRule="auto"/>
        <w:jc w:val="both"/>
        <w:rPr>
          <w:rFonts w:ascii="Arial" w:hAnsi="Arial"/>
          <w:noProof w:val="0"/>
        </w:rPr>
      </w:pPr>
      <w:r w:rsidRPr="006876F6">
        <w:rPr>
          <w:rFonts w:ascii="Arial" w:hAnsi="Arial"/>
          <w:noProof w:val="0"/>
          <w:rtl/>
        </w:rPr>
        <w:t xml:space="preserve">תכליתה של אמנת האג להתמודד  עם התופעה של חטיפות ילדים ממדינה למדינה. האמנה אומצה עד כה על ידי 66 מדינות, נחתמה בשנת 1980, נכנסה לתוקף בשנת 1983 ואומצה בישראל ב-1991 עם חקיקת חוק אמנת האג.  באמנה מפורטים שני סוגי מקרים: </w:t>
      </w:r>
      <w:r w:rsidRPr="006876F6">
        <w:rPr>
          <w:rFonts w:ascii="Arial" w:hAnsi="Arial"/>
          <w:b/>
          <w:bCs/>
          <w:noProof w:val="0"/>
          <w:rtl/>
        </w:rPr>
        <w:t>"חטיפה"</w:t>
      </w:r>
      <w:r w:rsidRPr="006876F6">
        <w:rPr>
          <w:rFonts w:ascii="Arial" w:hAnsi="Arial"/>
          <w:noProof w:val="0"/>
          <w:rtl/>
        </w:rPr>
        <w:t xml:space="preserve"> </w:t>
      </w:r>
      <w:r w:rsidRPr="006876F6">
        <w:rPr>
          <w:rFonts w:ascii="Arial" w:hAnsi="Arial"/>
          <w:b/>
          <w:bCs/>
          <w:noProof w:val="0"/>
          <w:rtl/>
        </w:rPr>
        <w:t>ו"אי החזרה</w:t>
      </w:r>
      <w:r w:rsidRPr="006876F6">
        <w:rPr>
          <w:rFonts w:ascii="Arial" w:hAnsi="Arial"/>
          <w:noProof w:val="0"/>
          <w:rtl/>
        </w:rPr>
        <w:t xml:space="preserve">" (ראה ס' 1 (א) לחוק).  </w:t>
      </w:r>
    </w:p>
    <w:p w:rsidR="006876F6" w:rsidRPr="006876F6" w:rsidRDefault="006876F6" w:rsidP="006876F6">
      <w:pPr>
        <w:pStyle w:val="ad"/>
        <w:spacing w:line="360" w:lineRule="auto"/>
        <w:jc w:val="both"/>
        <w:rPr>
          <w:rFonts w:ascii="Arial" w:hAnsi="Arial"/>
          <w:noProof w:val="0"/>
        </w:rPr>
      </w:pPr>
    </w:p>
    <w:p w:rsidR="00DF1A36" w:rsidRDefault="00DF1A36" w:rsidP="006876F6">
      <w:pPr>
        <w:pStyle w:val="ad"/>
        <w:numPr>
          <w:ilvl w:val="0"/>
          <w:numId w:val="1"/>
        </w:numPr>
        <w:spacing w:line="360" w:lineRule="auto"/>
        <w:jc w:val="both"/>
        <w:rPr>
          <w:rFonts w:ascii="Arial" w:hAnsi="Arial"/>
          <w:noProof w:val="0"/>
        </w:rPr>
      </w:pPr>
      <w:r>
        <w:rPr>
          <w:rFonts w:ascii="Arial" w:hAnsi="Arial"/>
          <w:noProof w:val="0"/>
          <w:rtl/>
        </w:rPr>
        <w:lastRenderedPageBreak/>
        <w:t xml:space="preserve">האמנה נועדה לספק אמצעים מנהלים ומשפטיים שמטרתם החזרה מהירה של קטין למדינה ממנה הוצא שלא כדין או שלא הוחזר אליה, והיא מבוססת על הדדיות ושיתוף פעולה בין המדינות החתומות עליה. המדובר בסעד מהיר ויעיל מעין "עזרה ראשונה" לשלילת תוצאות החטיפה. </w:t>
      </w:r>
    </w:p>
    <w:p w:rsidR="00DF1A36" w:rsidRDefault="00DF1A36" w:rsidP="00DF1A36">
      <w:pPr>
        <w:pStyle w:val="ad"/>
        <w:numPr>
          <w:ilvl w:val="0"/>
          <w:numId w:val="3"/>
        </w:numPr>
        <w:spacing w:line="360" w:lineRule="auto"/>
        <w:jc w:val="both"/>
        <w:rPr>
          <w:rFonts w:ascii="Arial" w:hAnsi="Arial"/>
          <w:b/>
          <w:bCs/>
          <w:noProof w:val="0"/>
        </w:rPr>
      </w:pPr>
      <w:r>
        <w:rPr>
          <w:rFonts w:ascii="Arial" w:hAnsi="Arial"/>
          <w:b/>
          <w:bCs/>
          <w:noProof w:val="0"/>
          <w:rtl/>
        </w:rPr>
        <w:t xml:space="preserve">ראה ע.א.7206/93 גבאי נ' גבאי (פורסם במאגרים המקוונים). </w:t>
      </w:r>
    </w:p>
    <w:p w:rsidR="00DF1A36" w:rsidRDefault="00DF1A36" w:rsidP="00DF1A36">
      <w:pPr>
        <w:pStyle w:val="ad"/>
        <w:numPr>
          <w:ilvl w:val="0"/>
          <w:numId w:val="3"/>
        </w:numPr>
        <w:spacing w:line="360" w:lineRule="auto"/>
        <w:jc w:val="both"/>
        <w:rPr>
          <w:rFonts w:ascii="Arial" w:hAnsi="Arial"/>
          <w:b/>
          <w:bCs/>
          <w:noProof w:val="0"/>
        </w:rPr>
      </w:pPr>
      <w:r>
        <w:rPr>
          <w:rFonts w:ascii="Arial" w:hAnsi="Arial"/>
          <w:b/>
          <w:bCs/>
          <w:noProof w:val="0"/>
          <w:rtl/>
        </w:rPr>
        <w:t xml:space="preserve">ע.א. 5532/93 גונזבורג נ' גרינבלט (פורסם במאגרים המקוונים). </w:t>
      </w:r>
    </w:p>
    <w:p w:rsidR="00DF1A36" w:rsidRDefault="00DF1A36" w:rsidP="00DF1A36"/>
    <w:p w:rsidR="00DF1A36" w:rsidRDefault="00DF1A36" w:rsidP="006876F6">
      <w:pPr>
        <w:pStyle w:val="ad"/>
        <w:numPr>
          <w:ilvl w:val="0"/>
          <w:numId w:val="1"/>
        </w:numPr>
        <w:spacing w:line="360" w:lineRule="auto"/>
        <w:jc w:val="both"/>
        <w:rPr>
          <w:rFonts w:ascii="Arial" w:hAnsi="Arial"/>
          <w:noProof w:val="0"/>
          <w:rtl/>
        </w:rPr>
      </w:pPr>
      <w:r>
        <w:rPr>
          <w:rFonts w:ascii="Arial" w:hAnsi="Arial"/>
          <w:noProof w:val="0"/>
          <w:rtl/>
        </w:rPr>
        <w:t xml:space="preserve">הליך משפטי לפי האמנה אינו קובע את זכויות ההורים, כגון: זכותם למשמורת, אלא עוסק בדבר הפורום המדינתי אשר ידון בכך. </w:t>
      </w:r>
    </w:p>
    <w:p w:rsidR="00DF1A36" w:rsidRDefault="00DF1A36" w:rsidP="00DF1A36">
      <w:pPr>
        <w:pStyle w:val="ad"/>
        <w:numPr>
          <w:ilvl w:val="0"/>
          <w:numId w:val="3"/>
        </w:numPr>
        <w:spacing w:line="360" w:lineRule="auto"/>
        <w:jc w:val="both"/>
        <w:rPr>
          <w:rFonts w:ascii="Arial" w:hAnsi="Arial"/>
          <w:b/>
          <w:bCs/>
          <w:noProof w:val="0"/>
        </w:rPr>
      </w:pPr>
      <w:r>
        <w:rPr>
          <w:rFonts w:ascii="Arial" w:hAnsi="Arial"/>
          <w:b/>
          <w:bCs/>
          <w:noProof w:val="0"/>
          <w:rtl/>
        </w:rPr>
        <w:t>ראה דברי כב' השופט הנדל ב.ע.מ. 1930/14 (פורסם במאגרים המקוונים).</w:t>
      </w:r>
    </w:p>
    <w:p w:rsidR="00DF1A36" w:rsidRDefault="00DF1A36" w:rsidP="00DF1A36">
      <w:pPr>
        <w:pStyle w:val="ad"/>
        <w:spacing w:line="360" w:lineRule="auto"/>
        <w:jc w:val="both"/>
        <w:rPr>
          <w:rFonts w:ascii="Arial" w:hAnsi="Arial"/>
          <w:noProof w:val="0"/>
        </w:rPr>
      </w:pPr>
    </w:p>
    <w:p w:rsidR="00DF1A36" w:rsidRDefault="00DF1A36" w:rsidP="006876F6">
      <w:pPr>
        <w:pStyle w:val="ad"/>
        <w:numPr>
          <w:ilvl w:val="0"/>
          <w:numId w:val="1"/>
        </w:numPr>
        <w:spacing w:line="360" w:lineRule="auto"/>
        <w:jc w:val="both"/>
        <w:rPr>
          <w:rFonts w:ascii="Arial" w:hAnsi="Arial"/>
          <w:noProof w:val="0"/>
        </w:rPr>
      </w:pPr>
      <w:r>
        <w:rPr>
          <w:rFonts w:ascii="Arial" w:hAnsi="Arial"/>
          <w:noProof w:val="0"/>
          <w:rtl/>
        </w:rPr>
        <w:t>סעיף 12 לאמנה נוקט בלשון ציווי,  והכלל הוא כי יש להורות לאלתר על החזרתו של ילד אשר הורחק או לא הוחזר. המדובר בכלל שמטרתו כיבוד הדדי של המדינות המתקשרות באמנה וכן נוכח עיקרון טובת הילד ולפיכך מוגבל שיקול הדעת הנתון לבית המשפט.</w:t>
      </w:r>
    </w:p>
    <w:p w:rsidR="00DF1A36" w:rsidRDefault="00DF1A36" w:rsidP="00DF1A36">
      <w:pPr>
        <w:pStyle w:val="ad"/>
        <w:numPr>
          <w:ilvl w:val="0"/>
          <w:numId w:val="3"/>
        </w:numPr>
        <w:spacing w:line="360" w:lineRule="auto"/>
        <w:jc w:val="both"/>
        <w:rPr>
          <w:rFonts w:ascii="Arial" w:hAnsi="Arial"/>
          <w:b/>
          <w:bCs/>
          <w:noProof w:val="0"/>
        </w:rPr>
      </w:pPr>
      <w:r>
        <w:rPr>
          <w:rFonts w:ascii="Arial" w:hAnsi="Arial"/>
          <w:b/>
          <w:bCs/>
          <w:noProof w:val="0"/>
          <w:rtl/>
        </w:rPr>
        <w:t xml:space="preserve">ר.ע.א. 3052/99 שבח נ' שבח (פורסם במאגרים המקוונים). </w:t>
      </w:r>
    </w:p>
    <w:p w:rsidR="00DF1A36" w:rsidRDefault="00DF1A36" w:rsidP="00DF1A36">
      <w:pPr>
        <w:pStyle w:val="ad"/>
        <w:spacing w:line="360" w:lineRule="auto"/>
        <w:ind w:left="1080"/>
        <w:jc w:val="both"/>
        <w:rPr>
          <w:rFonts w:ascii="Arial" w:hAnsi="Arial"/>
          <w:noProof w:val="0"/>
        </w:rPr>
      </w:pPr>
    </w:p>
    <w:p w:rsidR="00DF1A36" w:rsidRDefault="00DF1A36" w:rsidP="006876F6">
      <w:pPr>
        <w:pStyle w:val="ad"/>
        <w:numPr>
          <w:ilvl w:val="0"/>
          <w:numId w:val="1"/>
        </w:numPr>
        <w:spacing w:line="360" w:lineRule="auto"/>
        <w:jc w:val="both"/>
        <w:rPr>
          <w:rFonts w:ascii="Arial" w:hAnsi="Arial"/>
          <w:noProof w:val="0"/>
        </w:rPr>
      </w:pPr>
      <w:r>
        <w:rPr>
          <w:rFonts w:ascii="Arial" w:hAnsi="Arial"/>
          <w:noProof w:val="0"/>
          <w:rtl/>
        </w:rPr>
        <w:t xml:space="preserve">תנאי מקדמי לכלל ההחזרה, מצוי בסעיף 3 לאמנה הקובע כי הופרו זכויות המשמורת על פי דין המדינה שבה היה מקום מגוריו הרגיל של הקטין סמוך לפני הרחקתו או אי החזרתו. סעיף 3[ב] קובע תנאי כי בעת ההרחקה או אי ההחזרה הופעלו אותן זכויות בפועל.   </w:t>
      </w:r>
    </w:p>
    <w:p w:rsidR="00DF1A36" w:rsidRDefault="00DF1A36" w:rsidP="00DF1A36">
      <w:pPr>
        <w:pStyle w:val="ad"/>
        <w:spacing w:line="360" w:lineRule="auto"/>
        <w:jc w:val="both"/>
        <w:rPr>
          <w:rFonts w:ascii="Arial" w:hAnsi="Arial"/>
          <w:noProof w:val="0"/>
        </w:rPr>
      </w:pPr>
    </w:p>
    <w:p w:rsidR="00DF1A36" w:rsidRDefault="00DF1A36" w:rsidP="006876F6">
      <w:pPr>
        <w:pStyle w:val="ad"/>
        <w:numPr>
          <w:ilvl w:val="0"/>
          <w:numId w:val="1"/>
        </w:numPr>
        <w:spacing w:line="360" w:lineRule="auto"/>
        <w:jc w:val="both"/>
        <w:rPr>
          <w:rFonts w:ascii="Arial" w:hAnsi="Arial"/>
          <w:noProof w:val="0"/>
        </w:rPr>
      </w:pPr>
      <w:r>
        <w:rPr>
          <w:rFonts w:ascii="Arial" w:hAnsi="Arial"/>
          <w:noProof w:val="0"/>
          <w:rtl/>
        </w:rPr>
        <w:t>לכלל ההחזרה המפורט לעיל מספר חריגים המפורטים בסעיפים 12, 13 ו-20 לאמנה. באם יוכיח הנתבע – החוטף, כי התקיים אחד החריגים המפורטים בסעיפים אלו, בית המשפט אינו חייב להורות על החזרת הקטין החטוף. נטל ההוכחה  לקיומם של אחד החריגים רובץ על הנתבע - ההורה החוטף.</w:t>
      </w:r>
    </w:p>
    <w:p w:rsidR="00DF1A36" w:rsidRDefault="00DF1A36" w:rsidP="00DF1A36">
      <w:pPr>
        <w:pStyle w:val="ad"/>
        <w:numPr>
          <w:ilvl w:val="0"/>
          <w:numId w:val="3"/>
        </w:numPr>
        <w:spacing w:line="360" w:lineRule="auto"/>
        <w:jc w:val="both"/>
        <w:rPr>
          <w:rFonts w:ascii="Arial" w:hAnsi="Arial"/>
          <w:b/>
          <w:bCs/>
          <w:noProof w:val="0"/>
        </w:rPr>
      </w:pPr>
      <w:r>
        <w:rPr>
          <w:rFonts w:ascii="Arial" w:hAnsi="Arial"/>
          <w:b/>
          <w:bCs/>
          <w:noProof w:val="0"/>
          <w:rtl/>
        </w:rPr>
        <w:t xml:space="preserve">ע.א. 1372/95 סטגמן נ' בורק (פורסם במאגרים המקוונים). </w:t>
      </w:r>
    </w:p>
    <w:p w:rsidR="00DF1A36" w:rsidRDefault="00DF1A36" w:rsidP="00DF1A36">
      <w:pPr>
        <w:pStyle w:val="ad"/>
        <w:spacing w:line="360" w:lineRule="auto"/>
        <w:ind w:left="1080"/>
        <w:jc w:val="both"/>
        <w:rPr>
          <w:rFonts w:ascii="Arial" w:hAnsi="Arial"/>
          <w:noProof w:val="0"/>
        </w:rPr>
      </w:pPr>
    </w:p>
    <w:p w:rsidR="00DF1A36" w:rsidRDefault="00DF1A36" w:rsidP="006876F6">
      <w:pPr>
        <w:pStyle w:val="ad"/>
        <w:numPr>
          <w:ilvl w:val="0"/>
          <w:numId w:val="1"/>
        </w:numPr>
        <w:spacing w:line="360" w:lineRule="auto"/>
        <w:jc w:val="both"/>
        <w:rPr>
          <w:rFonts w:ascii="Arial" w:hAnsi="Arial"/>
          <w:noProof w:val="0"/>
        </w:rPr>
      </w:pPr>
      <w:r>
        <w:rPr>
          <w:rFonts w:ascii="Arial" w:hAnsi="Arial"/>
          <w:noProof w:val="0"/>
          <w:rtl/>
        </w:rPr>
        <w:t xml:space="preserve">במטרה ליישם את תכלית האמנה להשבה מהירה של קטין למקום מגוריו הרגיל הותקנו אף הוראות פרק </w:t>
      </w:r>
      <w:r w:rsidR="006876F6">
        <w:rPr>
          <w:rFonts w:ascii="Arial" w:hAnsi="Arial" w:hint="cs"/>
          <w:noProof w:val="0"/>
          <w:rtl/>
        </w:rPr>
        <w:t xml:space="preserve">ד' </w:t>
      </w:r>
      <w:r>
        <w:rPr>
          <w:rFonts w:ascii="Arial" w:hAnsi="Arial"/>
          <w:noProof w:val="0"/>
          <w:rtl/>
        </w:rPr>
        <w:t xml:space="preserve">לתקנות </w:t>
      </w:r>
      <w:r w:rsidR="006876F6">
        <w:rPr>
          <w:rFonts w:ascii="Arial" w:hAnsi="Arial" w:hint="cs"/>
          <w:noProof w:val="0"/>
          <w:rtl/>
        </w:rPr>
        <w:t xml:space="preserve">בית המשפט לענייני משפחה [סדרי דין], תשפ"א </w:t>
      </w:r>
      <w:r w:rsidR="006876F6">
        <w:rPr>
          <w:rFonts w:ascii="Arial" w:hAnsi="Arial"/>
          <w:noProof w:val="0"/>
          <w:rtl/>
        </w:rPr>
        <w:t>–</w:t>
      </w:r>
      <w:r w:rsidR="006876F6">
        <w:rPr>
          <w:rFonts w:ascii="Arial" w:hAnsi="Arial" w:hint="cs"/>
          <w:noProof w:val="0"/>
          <w:rtl/>
        </w:rPr>
        <w:t xml:space="preserve"> 2020 </w:t>
      </w:r>
      <w:r>
        <w:rPr>
          <w:rFonts w:ascii="Arial" w:hAnsi="Arial"/>
          <w:noProof w:val="0"/>
          <w:rtl/>
        </w:rPr>
        <w:t xml:space="preserve"> שכותרתו: "</w:t>
      </w:r>
      <w:r>
        <w:rPr>
          <w:rFonts w:ascii="Arial" w:hAnsi="Arial"/>
          <w:b/>
          <w:bCs/>
          <w:noProof w:val="0"/>
          <w:rtl/>
        </w:rPr>
        <w:t>החזרת ילדים חטופים לחו</w:t>
      </w:r>
      <w:r w:rsidR="006876F6">
        <w:rPr>
          <w:rFonts w:ascii="Arial" w:hAnsi="Arial" w:hint="cs"/>
          <w:b/>
          <w:bCs/>
          <w:noProof w:val="0"/>
          <w:rtl/>
        </w:rPr>
        <w:t>ץ לארץ</w:t>
      </w:r>
      <w:r>
        <w:rPr>
          <w:rFonts w:ascii="Arial" w:hAnsi="Arial"/>
          <w:b/>
          <w:bCs/>
          <w:noProof w:val="0"/>
          <w:rtl/>
        </w:rPr>
        <w:t>".</w:t>
      </w:r>
      <w:r>
        <w:rPr>
          <w:rFonts w:ascii="Arial" w:hAnsi="Arial"/>
          <w:noProof w:val="0"/>
          <w:rtl/>
        </w:rPr>
        <w:t xml:space="preserve"> במסגרת תקנות אלו נקבעו מועדים קצובים, וקצרים בזמן, הן לקיום דיון בתובענה והן למתן פסק דין, הכול כאמור במטרה לקיום הליך תכליתי, יעיל וענייני. </w:t>
      </w:r>
    </w:p>
    <w:p w:rsidR="00DF1A36" w:rsidRDefault="00DF1A36" w:rsidP="00DF1A36">
      <w:pPr>
        <w:pStyle w:val="ad"/>
        <w:spacing w:line="360" w:lineRule="auto"/>
        <w:jc w:val="both"/>
        <w:rPr>
          <w:rFonts w:ascii="Arial" w:hAnsi="Arial"/>
          <w:noProof w:val="0"/>
        </w:rPr>
      </w:pPr>
    </w:p>
    <w:p w:rsidR="00DF1A36" w:rsidRDefault="00DF1A36" w:rsidP="00DF1A36">
      <w:pPr>
        <w:spacing w:line="360" w:lineRule="auto"/>
        <w:ind w:left="360"/>
        <w:jc w:val="both"/>
        <w:rPr>
          <w:rFonts w:ascii="Arial" w:hAnsi="Arial"/>
          <w:b/>
          <w:bCs/>
          <w:noProof w:val="0"/>
          <w:u w:val="single"/>
        </w:rPr>
      </w:pPr>
      <w:r>
        <w:rPr>
          <w:rFonts w:ascii="Arial" w:hAnsi="Arial"/>
          <w:b/>
          <w:bCs/>
          <w:noProof w:val="0"/>
          <w:u w:val="single"/>
          <w:rtl/>
        </w:rPr>
        <w:lastRenderedPageBreak/>
        <w:t>מקום המגורים הרגיל:</w:t>
      </w:r>
    </w:p>
    <w:p w:rsidR="00DF1A36" w:rsidRDefault="00DF1A36" w:rsidP="00DF1A36">
      <w:pPr>
        <w:pStyle w:val="ad"/>
        <w:spacing w:line="360" w:lineRule="auto"/>
        <w:jc w:val="both"/>
        <w:rPr>
          <w:rFonts w:ascii="Arial" w:hAnsi="Arial"/>
          <w:b/>
          <w:bCs/>
          <w:noProof w:val="0"/>
        </w:rPr>
      </w:pPr>
    </w:p>
    <w:p w:rsidR="00DF1A36" w:rsidRDefault="00DF1A36" w:rsidP="006876F6">
      <w:pPr>
        <w:pStyle w:val="ad"/>
        <w:numPr>
          <w:ilvl w:val="0"/>
          <w:numId w:val="1"/>
        </w:numPr>
        <w:spacing w:before="72" w:line="360" w:lineRule="auto"/>
        <w:ind w:right="1134"/>
        <w:jc w:val="both"/>
      </w:pPr>
      <w:r>
        <w:rPr>
          <w:rFonts w:ascii="Arial" w:hAnsi="Arial"/>
          <w:noProof w:val="0"/>
          <w:rtl/>
        </w:rPr>
        <w:t xml:space="preserve">סעיף 3 לחוק קובע כדלקמן: </w:t>
      </w:r>
    </w:p>
    <w:p w:rsidR="00DF1A36" w:rsidRDefault="00DF1A36" w:rsidP="00DF1A36">
      <w:pPr>
        <w:pStyle w:val="ad"/>
        <w:spacing w:before="72"/>
        <w:ind w:left="1701" w:right="1134"/>
        <w:jc w:val="both"/>
        <w:rPr>
          <w:rStyle w:val="default"/>
          <w:b/>
          <w:bCs/>
        </w:rPr>
      </w:pPr>
      <w:r>
        <w:rPr>
          <w:rStyle w:val="default"/>
          <w:rFonts w:hint="cs"/>
          <w:b/>
          <w:bCs/>
          <w:rtl/>
        </w:rPr>
        <w:t>"הרחקתו או אי החזרתו של ילד תיחשב לא כדין כאשר –</w:t>
      </w:r>
    </w:p>
    <w:p w:rsidR="00DF1A36" w:rsidRDefault="00DF1A36" w:rsidP="00DF1A36">
      <w:pPr>
        <w:pStyle w:val="P01"/>
        <w:spacing w:before="72"/>
        <w:ind w:left="2160" w:right="1134" w:hanging="459"/>
        <w:rPr>
          <w:rStyle w:val="default"/>
          <w:rFonts w:cs="David"/>
          <w:b/>
          <w:bCs/>
          <w:sz w:val="24"/>
          <w:szCs w:val="24"/>
        </w:rPr>
      </w:pPr>
      <w:r>
        <w:rPr>
          <w:rFonts w:cs="David"/>
          <w:b/>
          <w:bCs/>
          <w:sz w:val="24"/>
          <w:szCs w:val="24"/>
          <w:rtl/>
        </w:rPr>
        <w:t>(א)    </w:t>
      </w:r>
      <w:r>
        <w:rPr>
          <w:rStyle w:val="default"/>
          <w:rFonts w:cs="David"/>
          <w:b/>
          <w:bCs/>
          <w:sz w:val="24"/>
          <w:szCs w:val="24"/>
          <w:rtl/>
        </w:rPr>
        <w:t xml:space="preserve">יש בהן </w:t>
      </w:r>
      <w:r>
        <w:rPr>
          <w:rStyle w:val="default"/>
          <w:rFonts w:cs="David"/>
          <w:b/>
          <w:bCs/>
          <w:sz w:val="24"/>
          <w:szCs w:val="24"/>
          <w:u w:val="single"/>
          <w:rtl/>
        </w:rPr>
        <w:t>הפרת זכויות המשמורת</w:t>
      </w:r>
      <w:r>
        <w:rPr>
          <w:rStyle w:val="default"/>
          <w:rFonts w:cs="David"/>
          <w:b/>
          <w:bCs/>
          <w:sz w:val="24"/>
          <w:szCs w:val="24"/>
          <w:rtl/>
        </w:rPr>
        <w:t xml:space="preserve"> המוענקות לאדם, למוסד או לכל גוף אחר, בין במאוחד ובין בנפרד, על פי דין המדינה שבה היה מקום </w:t>
      </w:r>
      <w:r>
        <w:rPr>
          <w:rStyle w:val="default"/>
          <w:rFonts w:cs="David"/>
          <w:b/>
          <w:bCs/>
          <w:sz w:val="24"/>
          <w:szCs w:val="24"/>
          <w:u w:val="single"/>
          <w:rtl/>
        </w:rPr>
        <w:t>מגוריו הרגיל של הקטין</w:t>
      </w:r>
      <w:r>
        <w:rPr>
          <w:rStyle w:val="default"/>
          <w:rFonts w:cs="David"/>
          <w:b/>
          <w:bCs/>
          <w:sz w:val="24"/>
          <w:szCs w:val="24"/>
          <w:rtl/>
        </w:rPr>
        <w:t xml:space="preserve"> סמוך לפני הרחקתו או אי החזרתו, וכן</w:t>
      </w:r>
    </w:p>
    <w:p w:rsidR="00DF1A36" w:rsidRDefault="00DF1A36" w:rsidP="00DF1A36">
      <w:pPr>
        <w:pStyle w:val="P01"/>
        <w:spacing w:before="72"/>
        <w:ind w:left="2160" w:right="1134" w:hanging="459"/>
        <w:rPr>
          <w:rStyle w:val="default"/>
          <w:rFonts w:cs="David"/>
          <w:b/>
          <w:bCs/>
          <w:sz w:val="24"/>
          <w:szCs w:val="24"/>
        </w:rPr>
      </w:pPr>
      <w:r>
        <w:rPr>
          <w:rFonts w:cs="David"/>
          <w:b/>
          <w:bCs/>
          <w:sz w:val="24"/>
          <w:szCs w:val="24"/>
          <w:rtl/>
        </w:rPr>
        <w:t>(ב)     </w:t>
      </w:r>
      <w:r>
        <w:rPr>
          <w:rStyle w:val="default"/>
          <w:rFonts w:cs="David"/>
          <w:b/>
          <w:bCs/>
          <w:sz w:val="24"/>
          <w:szCs w:val="24"/>
          <w:u w:val="single"/>
          <w:rtl/>
        </w:rPr>
        <w:t>בעת ההרחקה או אי ההחזרה הופעלו אותן זכויות בפועל</w:t>
      </w:r>
      <w:r>
        <w:rPr>
          <w:rStyle w:val="default"/>
          <w:rFonts w:cs="David"/>
          <w:b/>
          <w:bCs/>
          <w:sz w:val="24"/>
          <w:szCs w:val="24"/>
          <w:rtl/>
        </w:rPr>
        <w:t xml:space="preserve">, בין במאוחד ובין בנפרד, או שהיו מופעלות כך אלמלא ההרחקה או אי ההחזרה. </w:t>
      </w:r>
    </w:p>
    <w:p w:rsidR="00DF1A36" w:rsidRDefault="00DF1A36" w:rsidP="00DF1A36">
      <w:pPr>
        <w:pStyle w:val="P01"/>
        <w:spacing w:before="72"/>
        <w:ind w:left="2160" w:right="1134" w:firstLine="0"/>
        <w:rPr>
          <w:rStyle w:val="default"/>
          <w:rFonts w:cs="David"/>
          <w:b/>
          <w:bCs/>
          <w:sz w:val="24"/>
          <w:szCs w:val="24"/>
          <w:rtl/>
        </w:rPr>
      </w:pPr>
      <w:r>
        <w:rPr>
          <w:rStyle w:val="default"/>
          <w:rFonts w:cs="David"/>
          <w:b/>
          <w:bCs/>
          <w:sz w:val="24"/>
          <w:szCs w:val="24"/>
          <w:rtl/>
        </w:rPr>
        <w:t>זכויות המשמורת הנזכרות בסעיף קטן (א) יכול שינבעו במיוחד מכוח דין, החלטה שיפוטית או מינהלית או הסכם בעל תוקף משפטי על פי דין אותה מדינה."  [ההדגשה לא במקור ט.פ.]</w:t>
      </w:r>
    </w:p>
    <w:p w:rsidR="00DF1A36" w:rsidRDefault="00DF1A36" w:rsidP="00DF1A36">
      <w:pPr>
        <w:pStyle w:val="ad"/>
        <w:jc w:val="both"/>
        <w:rPr>
          <w:rFonts w:ascii="Arial" w:hAnsi="Arial"/>
          <w:noProof w:val="0"/>
          <w:u w:val="single"/>
          <w:rtl/>
        </w:rPr>
      </w:pPr>
    </w:p>
    <w:p w:rsidR="00DF1A36" w:rsidRPr="00130FF8" w:rsidRDefault="00DF1A36" w:rsidP="00130FF8">
      <w:pPr>
        <w:pStyle w:val="ad"/>
        <w:numPr>
          <w:ilvl w:val="0"/>
          <w:numId w:val="1"/>
        </w:numPr>
        <w:spacing w:line="360" w:lineRule="auto"/>
        <w:jc w:val="both"/>
        <w:rPr>
          <w:rFonts w:ascii="Arial" w:hAnsi="Arial"/>
          <w:noProof w:val="0"/>
          <w:rtl/>
        </w:rPr>
      </w:pPr>
      <w:r>
        <w:rPr>
          <w:rFonts w:ascii="Arial" w:hAnsi="Arial"/>
          <w:noProof w:val="0"/>
          <w:rtl/>
        </w:rPr>
        <w:t>קביעת מקום מגוריו הרגיל של הקטין</w:t>
      </w:r>
      <w:r w:rsidR="00130FF8">
        <w:rPr>
          <w:rFonts w:ascii="Arial" w:hAnsi="Arial" w:hint="cs"/>
          <w:noProof w:val="0"/>
          <w:rtl/>
        </w:rPr>
        <w:t xml:space="preserve">  </w:t>
      </w:r>
      <w:r w:rsidRPr="00130FF8">
        <w:rPr>
          <w:rFonts w:ascii="Arial" w:hAnsi="Arial"/>
          <w:noProof w:val="0"/>
          <w:rtl/>
        </w:rPr>
        <w:t xml:space="preserve">הוא תנאי מקדמי לתחולת האמנה. בעבר ההלכה בעניין זה היתה ברורה והתבססה על מקום מגוריו של הקטין עובר לחטיפה, תוך התעלמות מכוונות ותוכניות עתידיות של ההורים (ר' ע.א. 7206/93 גבאי נ' גבאי). גישה זו מכונה בפסיקה </w:t>
      </w:r>
      <w:r w:rsidRPr="00130FF8">
        <w:rPr>
          <w:rFonts w:ascii="Arial" w:hAnsi="Arial"/>
          <w:b/>
          <w:bCs/>
          <w:noProof w:val="0"/>
          <w:rtl/>
        </w:rPr>
        <w:t>"האסכולה העובדתית</w:t>
      </w:r>
      <w:r w:rsidRPr="00130FF8">
        <w:rPr>
          <w:rFonts w:ascii="Arial" w:hAnsi="Arial"/>
          <w:noProof w:val="0"/>
          <w:rtl/>
        </w:rPr>
        <w:t xml:space="preserve">" ולפיה, על בית המשפט לבחון עובדתית היכן שהו בני הזוג, מבלי להידרש לכוונות או רצונות לפעולות עתידיות. במשך השנים התפתחה בפסיקה גישה חלופית המכונה </w:t>
      </w:r>
      <w:r w:rsidRPr="00130FF8">
        <w:rPr>
          <w:rFonts w:ascii="Arial" w:hAnsi="Arial"/>
          <w:b/>
          <w:bCs/>
          <w:noProof w:val="0"/>
          <w:rtl/>
        </w:rPr>
        <w:t>"האסכולה הכוונתית</w:t>
      </w:r>
      <w:r w:rsidRPr="00130FF8">
        <w:rPr>
          <w:rFonts w:ascii="Arial" w:hAnsi="Arial"/>
          <w:noProof w:val="0"/>
          <w:rtl/>
        </w:rPr>
        <w:t xml:space="preserve">", אשר שמה את עיקר הדגש על כוונת ההורים. </w:t>
      </w:r>
    </w:p>
    <w:p w:rsidR="00DF1A36" w:rsidRDefault="00DF1A36" w:rsidP="00DF1A36">
      <w:pPr>
        <w:pStyle w:val="ad"/>
        <w:spacing w:line="360" w:lineRule="auto"/>
        <w:jc w:val="both"/>
        <w:rPr>
          <w:rFonts w:ascii="Arial" w:hAnsi="Arial"/>
          <w:noProof w:val="0"/>
        </w:rPr>
      </w:pPr>
    </w:p>
    <w:p w:rsidR="00DF1A36" w:rsidRDefault="00DF1A36" w:rsidP="006876F6">
      <w:pPr>
        <w:pStyle w:val="ad"/>
        <w:numPr>
          <w:ilvl w:val="0"/>
          <w:numId w:val="1"/>
        </w:numPr>
        <w:spacing w:line="360" w:lineRule="auto"/>
        <w:jc w:val="both"/>
        <w:rPr>
          <w:noProof w:val="0"/>
        </w:rPr>
      </w:pPr>
      <w:r>
        <w:rPr>
          <w:rFonts w:ascii="Arial" w:hAnsi="Arial"/>
          <w:noProof w:val="0"/>
          <w:rtl/>
        </w:rPr>
        <w:t xml:space="preserve">בעניין ב.ע.מ. 7784/12 נאמרו על ידי כב' השופט הנדל הדברים הבאים: </w:t>
      </w:r>
    </w:p>
    <w:p w:rsidR="00DF1A36" w:rsidRDefault="00DF1A36" w:rsidP="00DF1A36">
      <w:pPr>
        <w:pStyle w:val="ad"/>
        <w:ind w:left="1701" w:right="1134"/>
        <w:jc w:val="both"/>
      </w:pPr>
      <w:r>
        <w:rPr>
          <w:b/>
          <w:bCs/>
          <w:rtl/>
        </w:rPr>
        <w:t xml:space="preserve">"ראוי להעיר כי בפסק דינו של בית המשפט לענייני משפחה נקבע כי "כיום, נוטה הפסיקה ל'אסכולה הכוונתית' או למיזוג בין שתי האסכולות". בשל חשיבות הסוגיה אבקש להבהיר את העניין אף תוך אזכור פסיקה שניתנה במדינות שונות בשנים האחרונות וכן יינתן משקל לתכלית האמנה וללשונה. בהקשר זה יוערו שתי נקודות. האחת, היעדר עמדה ברורה מבית משפט זה הותיר ואקום מסוים בבתי המשפט המחוזיים שם ננקטו גישות שונות ואף סותרות (לסקירה ראו </w:t>
      </w:r>
      <w:hyperlink r:id="rId14" w:history="1">
        <w:r>
          <w:rPr>
            <w:rStyle w:val="Hyperlink"/>
            <w:b/>
            <w:bCs/>
            <w:color w:val="0000FF"/>
            <w:rtl/>
          </w:rPr>
          <w:t>ע"מ (ב"ש) 130/08</w:t>
        </w:r>
      </w:hyperlink>
      <w:r>
        <w:rPr>
          <w:b/>
          <w:bCs/>
          <w:rtl/>
        </w:rPr>
        <w:t xml:space="preserve"> פלונית נ' פלוני, [פורסם בנבו] פסקה 2 לחוות דעתי (31.8.2008) (להלן: </w:t>
      </w:r>
      <w:hyperlink r:id="rId15" w:history="1">
        <w:r>
          <w:rPr>
            <w:rStyle w:val="Hyperlink"/>
            <w:b/>
            <w:bCs/>
            <w:color w:val="0000FF"/>
            <w:rtl/>
          </w:rPr>
          <w:t>ע"מ 130/08</w:t>
        </w:r>
      </w:hyperlink>
      <w:r>
        <w:rPr>
          <w:b/>
          <w:bCs/>
          <w:rtl/>
        </w:rPr>
        <w:t>) [פורסם בנבו]). השנייה, עיון בפסיקה מעבר לים ואף בפסיקה ישראלית מלמד כי המבחן להגדרת המונח החשוב – מקום מגוריו הרגיל – השתנה באופן שהוא כולל הדגשים נוספים וראוי שהדברים יבוארו....</w:t>
      </w:r>
    </w:p>
    <w:p w:rsidR="00DF1A36" w:rsidRDefault="00DF1A36" w:rsidP="00DF1A36">
      <w:pPr>
        <w:pStyle w:val="ad"/>
        <w:ind w:left="1701" w:right="1134"/>
        <w:jc w:val="both"/>
        <w:rPr>
          <w:rFonts w:cs="FrankRuehl"/>
          <w:spacing w:val="10"/>
          <w:sz w:val="28"/>
          <w:szCs w:val="28"/>
          <w:rtl/>
        </w:rPr>
      </w:pPr>
    </w:p>
    <w:p w:rsidR="00DF1A36" w:rsidRDefault="00DF1A36" w:rsidP="00DF1A36">
      <w:pPr>
        <w:pStyle w:val="ad"/>
        <w:ind w:left="1701" w:right="1134"/>
        <w:jc w:val="both"/>
        <w:rPr>
          <w:b/>
          <w:bCs/>
          <w:spacing w:val="10"/>
          <w:rtl/>
        </w:rPr>
      </w:pPr>
      <w:r>
        <w:rPr>
          <w:b/>
          <w:bCs/>
          <w:spacing w:val="10"/>
          <w:rtl/>
        </w:rPr>
        <w:t xml:space="preserve">העמדה לפיה </w:t>
      </w:r>
      <w:r>
        <w:rPr>
          <w:b/>
          <w:bCs/>
          <w:spacing w:val="10"/>
        </w:rPr>
        <w:t>Habitual Residence</w:t>
      </w:r>
      <w:r>
        <w:rPr>
          <w:b/>
          <w:bCs/>
          <w:spacing w:val="10"/>
          <w:rtl/>
        </w:rPr>
        <w:t xml:space="preserve"> ("מקום המגורים הרגיל") הינה סוגיה של "</w:t>
      </w:r>
      <w:r>
        <w:rPr>
          <w:b/>
          <w:bCs/>
          <w:spacing w:val="10"/>
        </w:rPr>
        <w:t>Pure Fact</w:t>
      </w:r>
      <w:r>
        <w:rPr>
          <w:b/>
          <w:bCs/>
          <w:spacing w:val="10"/>
          <w:rtl/>
        </w:rPr>
        <w:t xml:space="preserve">", עובדה טהורה, משמעה שעל הבדיקה להיות מקיפה ומעמיקה. התוצאה של הבירור העובדתי הטהור היא שלעיתים עובדה מסוימת תזכה </w:t>
      </w:r>
      <w:r>
        <w:rPr>
          <w:b/>
          <w:bCs/>
          <w:spacing w:val="10"/>
          <w:rtl/>
        </w:rPr>
        <w:lastRenderedPageBreak/>
        <w:t xml:space="preserve">למשקל רב בשקלול הסופי של כלל הנתונים ולעיתים עובדה אחרת תזכה בבכורה. בדיקה עובדתית טהורה חייבת להיות רחבה וכוללנית. מארג העובדות בהחלט יכלול את כוונות ההורים ואת ההחלטות שקיבלו, אך אין ליתן לכוונותיהם משקל עצמאי וחיצוני לבחינה העובדתית. הכוונה אף היא חלק מהתמונה העובדתית. מטבע הדברים, נתון הכוונה  מפנה את הבדיקה להורים. </w:t>
      </w:r>
      <w:r w:rsidRPr="00130FF8">
        <w:rPr>
          <w:b/>
          <w:bCs/>
          <w:spacing w:val="10"/>
          <w:u w:val="single"/>
          <w:rtl/>
        </w:rPr>
        <w:t xml:space="preserve">אף כאן יש לתת את המשקל הממשי למונח המדויק </w:t>
      </w:r>
      <w:r w:rsidRPr="00130FF8">
        <w:rPr>
          <w:b/>
          <w:bCs/>
          <w:spacing w:val="10"/>
          <w:u w:val="single"/>
        </w:rPr>
        <w:t>Habitual Residence of the Child</w:t>
      </w:r>
      <w:r w:rsidRPr="00130FF8">
        <w:rPr>
          <w:b/>
          <w:bCs/>
          <w:spacing w:val="10"/>
          <w:u w:val="single"/>
          <w:rtl/>
        </w:rPr>
        <w:t xml:space="preserve"> – "מקום מגוריו הרגיל של הילד" השם את הזרקור על הילד. במובן זה יש לשמוע את קולו של הילד. זאת לא במובן בו בית המשפט ישאל אותו למקום מגוריו הרגיל שהרי אין אנו עוסקים בסוגיה סובייקטיבית, אלא במובן האובייקטיבי המופשט במידת מה</w:t>
      </w:r>
      <w:r>
        <w:rPr>
          <w:b/>
          <w:bCs/>
          <w:spacing w:val="10"/>
          <w:rtl/>
        </w:rPr>
        <w:t xml:space="preserve">. </w:t>
      </w:r>
      <w:r w:rsidRPr="00130FF8">
        <w:rPr>
          <w:b/>
          <w:bCs/>
          <w:spacing w:val="10"/>
          <w:u w:val="single"/>
          <w:rtl/>
        </w:rPr>
        <w:t>על פי ראייה זו</w:t>
      </w:r>
      <w:r>
        <w:rPr>
          <w:b/>
          <w:bCs/>
          <w:spacing w:val="10"/>
          <w:rtl/>
        </w:rPr>
        <w:t xml:space="preserve"> </w:t>
      </w:r>
      <w:r w:rsidRPr="00130FF8">
        <w:rPr>
          <w:b/>
          <w:bCs/>
          <w:spacing w:val="10"/>
          <w:u w:val="single"/>
          <w:rtl/>
        </w:rPr>
        <w:t>חשוב לבחון את חיי הילד כפי שהם, אך המסקנה עשויה לכלול את כוונת ההורים שאף היא רלוונטית בתור עובדה</w:t>
      </w:r>
      <w:r>
        <w:rPr>
          <w:b/>
          <w:bCs/>
          <w:spacing w:val="10"/>
          <w:rtl/>
        </w:rPr>
        <w:t xml:space="preserve">. כמובן,  יש חשיבות לשיקולים אחרים כגון מטרת הנסיעה למדינה אחרת, תחימת הנסיעה בזמן ואף גילו של הילד. ודוק, יש לבחון לא את מקום מגוריו של הילד כי אם את מקום מגוריו </w:t>
      </w:r>
      <w:r>
        <w:rPr>
          <w:b/>
          <w:bCs/>
          <w:rtl/>
        </w:rPr>
        <w:t>הרגיל</w:t>
      </w:r>
      <w:r>
        <w:rPr>
          <w:b/>
          <w:bCs/>
          <w:spacing w:val="10"/>
          <w:rtl/>
        </w:rPr>
        <w:t xml:space="preserve"> על המשתמע מכך. </w:t>
      </w:r>
    </w:p>
    <w:p w:rsidR="00DF1A36" w:rsidRDefault="00DF1A36" w:rsidP="00DF1A36">
      <w:pPr>
        <w:pStyle w:val="ad"/>
        <w:ind w:left="1701" w:right="1134"/>
        <w:jc w:val="both"/>
        <w:rPr>
          <w:b/>
          <w:bCs/>
          <w:rtl/>
        </w:rPr>
      </w:pPr>
      <w:r>
        <w:rPr>
          <w:b/>
          <w:bCs/>
          <w:spacing w:val="10"/>
          <w:rtl/>
        </w:rPr>
        <w:t>התמקדות בעובדות, להבדיל משילוב בין מבחן עובדתי למבחן כוונתי, תביא לתוצאות שונות שלא על בסיס קיומן של אסכולות משפטיות מתחרות, כי אם על בסיס המארג העובדתי הייחודי לכל מקרה ומקרה. יודגש אף כי גם בחינת העובדות לא נעשית מנקודת המבט של ההורים אלא מנקודת מבטו של הילד, בבחינה אובייקטיבית של נקודת מבט זו. רוצה לומר, בבוא בית המשפט להניח את אצבעו על מפת העולם, להצביע על אחת המדינות ולקבוע "כאן מקום מגוריו הרגיל של הקטין", עליו לשוות לנגד עיניו את מפת עולמו של הקטין, על פסיפס העובדות המרכיבות אותה.</w:t>
      </w:r>
    </w:p>
    <w:p w:rsidR="00DF1A36" w:rsidRDefault="00DF1A36" w:rsidP="00DF1A36">
      <w:pPr>
        <w:pStyle w:val="ad"/>
        <w:ind w:left="1701" w:right="1134"/>
        <w:jc w:val="both"/>
        <w:rPr>
          <w:b/>
          <w:bCs/>
          <w:rtl/>
        </w:rPr>
      </w:pPr>
      <w:r>
        <w:rPr>
          <w:b/>
          <w:bCs/>
          <w:rtl/>
        </w:rPr>
        <w:t>מבחן עובדתי טהור תוך מיקוד בילד הכולל את כוונות הוריו בגדר עובדה תואם גם את פסק הדין בעניין גבאי, וגם את הפסיקה העדכנית שניתנה בבית משפט זה לפיה אין ליצור חיץ בין העובדות לבין הכוונות. המבחן אף תואם את הפסיקה במדינות זרות המחויבות אף הן כישראל ללשון האמנה ותכליותיה. בקנדה נקבע, למשל, שהמונח "מקום מגוריו של הילד" הינו בגדר סוגיה משפטית טהורה שתוכרע על פי המציאות של חיי הילד ולא זו של הוריו....."</w:t>
      </w:r>
      <w:r w:rsidR="00130FF8">
        <w:rPr>
          <w:rFonts w:hint="cs"/>
          <w:b/>
          <w:bCs/>
          <w:rtl/>
        </w:rPr>
        <w:t xml:space="preserve">  [ההדגשה שלי ט.פ.]</w:t>
      </w:r>
    </w:p>
    <w:p w:rsidR="00DF1A36" w:rsidRDefault="00DF1A36" w:rsidP="00DF1A36">
      <w:pPr>
        <w:pStyle w:val="ad"/>
        <w:spacing w:line="360" w:lineRule="auto"/>
        <w:jc w:val="both"/>
        <w:rPr>
          <w:b/>
          <w:bCs/>
          <w:noProof w:val="0"/>
          <w:rtl/>
        </w:rPr>
      </w:pPr>
    </w:p>
    <w:p w:rsidR="00DF1A36" w:rsidRDefault="00DF1A36" w:rsidP="006876F6">
      <w:pPr>
        <w:pStyle w:val="ad"/>
        <w:numPr>
          <w:ilvl w:val="0"/>
          <w:numId w:val="1"/>
        </w:numPr>
        <w:spacing w:line="360" w:lineRule="auto"/>
        <w:jc w:val="both"/>
        <w:rPr>
          <w:rFonts w:ascii="Arial" w:hAnsi="Arial"/>
          <w:b/>
          <w:bCs/>
          <w:noProof w:val="0"/>
        </w:rPr>
      </w:pPr>
      <w:r>
        <w:rPr>
          <w:rFonts w:ascii="Arial" w:hAnsi="Arial"/>
          <w:noProof w:val="0"/>
          <w:rtl/>
        </w:rPr>
        <w:t xml:space="preserve">בעניין </w:t>
      </w:r>
      <w:r>
        <w:rPr>
          <w:rFonts w:ascii="Arial" w:hAnsi="Arial"/>
          <w:b/>
          <w:bCs/>
          <w:noProof w:val="0"/>
          <w:rtl/>
        </w:rPr>
        <w:t>עמ"ש 4646-11-08 מנריק נ' מנריק</w:t>
      </w:r>
      <w:r>
        <w:rPr>
          <w:rFonts w:ascii="Arial" w:hAnsi="Arial"/>
          <w:noProof w:val="0"/>
          <w:rtl/>
        </w:rPr>
        <w:t xml:space="preserve"> (פורסם במאגרים המקוונים) מציע כב' השופט י. עמית מספר פרמטרים אותם ניתן לבחון לצורך קביעת מקום המגורים הרגיל, לרבות מקום הולדת הילדים, משך התקופה בה התגוררו הצדדים במדינה, הרקע לעזיבה, הכוונה המוצהרת של הצדדים. </w:t>
      </w:r>
      <w:r>
        <w:rPr>
          <w:rFonts w:ascii="Arial" w:hAnsi="Arial"/>
          <w:b/>
          <w:bCs/>
          <w:noProof w:val="0"/>
          <w:rtl/>
        </w:rPr>
        <w:t>"על בית המשפט לבחון את הסממנים המעידים על עקירה או הזנחת מקום המגורים הקודם ומנגד, את הסממנים המעידים על מטרת המגורים במדינה החדשה....".</w:t>
      </w:r>
      <w:r>
        <w:rPr>
          <w:rFonts w:ascii="Arial" w:hAnsi="Arial"/>
          <w:noProof w:val="0"/>
          <w:rtl/>
        </w:rPr>
        <w:t xml:space="preserve">  באותו עניין ציטט כב' השופט י. עמית את דבריו של כב' הנשיא זילר בתיק תמ"א (י-ם) 507/95 גולדמן נ' גולדמן (לא פורסם) שם התייחס כב' הנשיא למצבים בהם עוברת המשפחה להתגורר בחו"ל למשך מס' שנים וכדבריו</w:t>
      </w:r>
      <w:r>
        <w:rPr>
          <w:rFonts w:ascii="Arial" w:hAnsi="Arial"/>
          <w:b/>
          <w:bCs/>
          <w:noProof w:val="0"/>
          <w:rtl/>
        </w:rPr>
        <w:t xml:space="preserve">: "נראה לי שלא אחטא לידיעה </w:t>
      </w:r>
      <w:r>
        <w:rPr>
          <w:rFonts w:ascii="Arial" w:hAnsi="Arial"/>
          <w:b/>
          <w:bCs/>
          <w:noProof w:val="0"/>
          <w:rtl/>
        </w:rPr>
        <w:lastRenderedPageBreak/>
        <w:t>השיפוטית של ביהמ"ש אם אומר שחזיון נפרץ הוא בקרב רבים מבין מי שמכונים "יורדים", להצהיר..... שהם באו לנכר רק למספר שנים, כדי ללמוד, לעשות חיל כלכלית, לרכוש הון, קשרים, ידע וניסיון ולחזור לאחר מכן ארצה. בינתיים נוקפות השנים, ולאחריהן חלק חוזר ארצה וחלק אינו חוזר.... הרצון והכוונה לחזור.... אינם פוגעים בעובדה שמקום המגורים הרגיל שלהם, עד שיחזרו ארצה, הוא בנכר. מקום מגורים רגיל נבחן בצילום מצב ולא בבחינת כוונות..."</w:t>
      </w:r>
    </w:p>
    <w:p w:rsidR="00DF1A36" w:rsidRDefault="00DF1A36" w:rsidP="00DF1A36">
      <w:pPr>
        <w:pStyle w:val="ad"/>
        <w:spacing w:line="360" w:lineRule="auto"/>
        <w:jc w:val="both"/>
        <w:rPr>
          <w:rFonts w:ascii="Arial" w:hAnsi="Arial"/>
          <w:noProof w:val="0"/>
          <w:rtl/>
        </w:rPr>
      </w:pPr>
    </w:p>
    <w:p w:rsidR="00CD1CBA" w:rsidRDefault="00CD1CBA" w:rsidP="00CD1CBA">
      <w:pPr>
        <w:spacing w:line="360" w:lineRule="auto"/>
        <w:jc w:val="both"/>
        <w:rPr>
          <w:rFonts w:ascii="Arial" w:hAnsi="Arial"/>
          <w:noProof w:val="0"/>
          <w:rtl/>
        </w:rPr>
      </w:pPr>
    </w:p>
    <w:p w:rsidR="00517BF6" w:rsidRDefault="00517BF6" w:rsidP="00CD1CBA">
      <w:pPr>
        <w:spacing w:line="360" w:lineRule="auto"/>
        <w:ind w:right="1134"/>
        <w:jc w:val="both"/>
        <w:rPr>
          <w:rFonts w:ascii="Arial" w:hAnsi="Arial"/>
          <w:b/>
          <w:bCs/>
          <w:noProof w:val="0"/>
          <w:u w:val="single"/>
          <w:rtl/>
        </w:rPr>
      </w:pPr>
      <w:r w:rsidRPr="00CD1CBA">
        <w:rPr>
          <w:rFonts w:ascii="Arial" w:hAnsi="Arial" w:hint="cs"/>
          <w:b/>
          <w:bCs/>
          <w:noProof w:val="0"/>
          <w:u w:val="single"/>
          <w:rtl/>
        </w:rPr>
        <w:t>מהכלל אל הפרט</w:t>
      </w:r>
    </w:p>
    <w:p w:rsidR="00CD1CBA" w:rsidRPr="00CD1CBA" w:rsidRDefault="00CD1CBA" w:rsidP="00CD1CBA">
      <w:pPr>
        <w:spacing w:line="360" w:lineRule="auto"/>
        <w:jc w:val="both"/>
        <w:rPr>
          <w:rFonts w:ascii="Arial" w:hAnsi="Arial"/>
          <w:b/>
          <w:bCs/>
          <w:noProof w:val="0"/>
          <w:u w:val="single"/>
        </w:rPr>
      </w:pPr>
    </w:p>
    <w:p w:rsidR="00CD1CBA" w:rsidRDefault="00CD1CBA" w:rsidP="00353476">
      <w:pPr>
        <w:pStyle w:val="ad"/>
        <w:numPr>
          <w:ilvl w:val="0"/>
          <w:numId w:val="1"/>
        </w:numPr>
        <w:spacing w:line="360" w:lineRule="auto"/>
        <w:jc w:val="both"/>
        <w:rPr>
          <w:rFonts w:ascii="Arial" w:hAnsi="Arial"/>
          <w:noProof w:val="0"/>
        </w:rPr>
      </w:pPr>
      <w:r>
        <w:rPr>
          <w:rFonts w:ascii="Arial" w:hAnsi="Arial" w:hint="cs"/>
          <w:noProof w:val="0"/>
          <w:rtl/>
        </w:rPr>
        <w:t xml:space="preserve">לאחר שעיינתי בכל החומר המצוי בתיק, ושקלתי טענות הצדדים, הגעתי למסקנה לפיה דין </w:t>
      </w:r>
      <w:r w:rsidR="00353476">
        <w:rPr>
          <w:rFonts w:ascii="Arial" w:hAnsi="Arial" w:hint="cs"/>
          <w:noProof w:val="0"/>
          <w:rtl/>
        </w:rPr>
        <w:t>ה</w:t>
      </w:r>
      <w:r>
        <w:rPr>
          <w:rFonts w:ascii="Arial" w:hAnsi="Arial" w:hint="cs"/>
          <w:noProof w:val="0"/>
          <w:rtl/>
        </w:rPr>
        <w:t>תביע</w:t>
      </w:r>
      <w:r w:rsidR="00353476">
        <w:rPr>
          <w:rFonts w:ascii="Arial" w:hAnsi="Arial" w:hint="cs"/>
          <w:noProof w:val="0"/>
          <w:rtl/>
        </w:rPr>
        <w:t xml:space="preserve">ה להשבת הקטינים בהתאם להוראות חוק אמנת האג </w:t>
      </w:r>
      <w:r>
        <w:rPr>
          <w:rFonts w:ascii="Arial" w:hAnsi="Arial" w:hint="cs"/>
          <w:noProof w:val="0"/>
          <w:rtl/>
        </w:rPr>
        <w:t>להידחות.  להלן אפרט.</w:t>
      </w:r>
    </w:p>
    <w:p w:rsidR="00CD1CBA" w:rsidRPr="00CD1CBA" w:rsidRDefault="00CD1CBA" w:rsidP="00CD1CBA">
      <w:pPr>
        <w:pStyle w:val="ad"/>
        <w:rPr>
          <w:rFonts w:ascii="Arial" w:hAnsi="Arial"/>
          <w:noProof w:val="0"/>
          <w:rtl/>
        </w:rPr>
      </w:pPr>
    </w:p>
    <w:p w:rsidR="00CD1CBA" w:rsidRPr="00CD1CBA" w:rsidRDefault="00CD1CBA" w:rsidP="006876F6">
      <w:pPr>
        <w:pStyle w:val="ad"/>
        <w:numPr>
          <w:ilvl w:val="0"/>
          <w:numId w:val="1"/>
        </w:numPr>
        <w:spacing w:before="72" w:line="360" w:lineRule="auto"/>
        <w:ind w:right="1134"/>
        <w:jc w:val="both"/>
        <w:rPr>
          <w:rFonts w:cs="FrankRuehl"/>
          <w:szCs w:val="26"/>
          <w:rtl/>
        </w:rPr>
      </w:pPr>
      <w:r w:rsidRPr="00CD1CBA">
        <w:rPr>
          <w:rFonts w:ascii="Arial" w:hAnsi="Arial" w:hint="cs"/>
          <w:noProof w:val="0"/>
          <w:rtl/>
        </w:rPr>
        <w:t xml:space="preserve">ראשית, </w:t>
      </w:r>
      <w:r>
        <w:rPr>
          <w:rFonts w:hint="cs"/>
          <w:rtl/>
        </w:rPr>
        <w:t xml:space="preserve">אפנה להוראות סעיף 1 לתוספת לחוק אמנת האג, אשר </w:t>
      </w:r>
      <w:r w:rsidR="00D81AD3">
        <w:rPr>
          <w:rFonts w:hint="cs"/>
          <w:rtl/>
        </w:rPr>
        <w:t xml:space="preserve">מורה </w:t>
      </w:r>
      <w:r>
        <w:rPr>
          <w:rFonts w:hint="cs"/>
          <w:rtl/>
        </w:rPr>
        <w:t>כדלקמן:</w:t>
      </w:r>
    </w:p>
    <w:p w:rsidR="00CD1CBA" w:rsidRPr="00CD1CBA" w:rsidRDefault="00CD1CBA" w:rsidP="00CD1CBA">
      <w:pPr>
        <w:pStyle w:val="ad"/>
        <w:spacing w:line="360" w:lineRule="auto"/>
        <w:ind w:left="1440" w:right="1134" w:hanging="720"/>
        <w:jc w:val="both"/>
        <w:rPr>
          <w:rFonts w:ascii="Arial" w:hAnsi="Arial"/>
          <w:noProof w:val="0"/>
        </w:rPr>
      </w:pPr>
      <w:r>
        <w:rPr>
          <w:rtl/>
        </w:rPr>
        <w:t>(א)</w:t>
      </w:r>
      <w:r>
        <w:rPr>
          <w:rtl/>
        </w:rPr>
        <w:tab/>
      </w:r>
      <w:r w:rsidRPr="00CD1CBA">
        <w:rPr>
          <w:rStyle w:val="default"/>
          <w:rFonts w:cs="FrankRuehl"/>
          <w:rtl/>
        </w:rPr>
        <w:t xml:space="preserve">להבטיח את החזרתם המידית של ילדים, </w:t>
      </w:r>
      <w:r w:rsidRPr="00CD1CBA">
        <w:rPr>
          <w:rStyle w:val="default"/>
          <w:rFonts w:cs="FrankRuehl"/>
          <w:b/>
          <w:bCs/>
          <w:u w:val="single"/>
          <w:rtl/>
        </w:rPr>
        <w:t>אשר לא כדין</w:t>
      </w:r>
      <w:r w:rsidRPr="00CD1CBA">
        <w:rPr>
          <w:rStyle w:val="default"/>
          <w:rFonts w:cs="FrankRuehl"/>
          <w:rtl/>
        </w:rPr>
        <w:t>, הורחקו אל מדינה מתקשרת או לא הוחזרו ממנה,</w:t>
      </w:r>
      <w:r w:rsidRPr="00CD1CBA">
        <w:rPr>
          <w:rFonts w:ascii="Arial" w:hAnsi="Arial" w:hint="cs"/>
          <w:noProof w:val="0"/>
          <w:rtl/>
        </w:rPr>
        <w:t>.....[ההדגשה שלי ט.פ.]</w:t>
      </w:r>
    </w:p>
    <w:p w:rsidR="00CD1CBA" w:rsidRPr="00CD1CBA" w:rsidRDefault="00CD1CBA" w:rsidP="00CD1CBA">
      <w:pPr>
        <w:pStyle w:val="ad"/>
        <w:spacing w:line="360" w:lineRule="auto"/>
        <w:jc w:val="both"/>
        <w:rPr>
          <w:rFonts w:ascii="Arial" w:hAnsi="Arial"/>
          <w:noProof w:val="0"/>
        </w:rPr>
      </w:pPr>
    </w:p>
    <w:p w:rsidR="00D81AD3" w:rsidRPr="00D81AD3" w:rsidRDefault="00CD1CBA" w:rsidP="00353476">
      <w:pPr>
        <w:pStyle w:val="ad"/>
        <w:numPr>
          <w:ilvl w:val="0"/>
          <w:numId w:val="1"/>
        </w:numPr>
        <w:spacing w:line="360" w:lineRule="auto"/>
        <w:jc w:val="both"/>
        <w:rPr>
          <w:rFonts w:ascii="Arial" w:hAnsi="Arial"/>
          <w:noProof w:val="0"/>
        </w:rPr>
      </w:pPr>
      <w:r>
        <w:rPr>
          <w:rFonts w:ascii="Arial" w:hAnsi="Arial" w:hint="cs"/>
          <w:noProof w:val="0"/>
          <w:rtl/>
        </w:rPr>
        <w:t xml:space="preserve">כלומר, השאלה הראשונה עליה יש להשיב הנה, האם </w:t>
      </w:r>
      <w:r w:rsidR="00130FF8">
        <w:rPr>
          <w:rFonts w:ascii="Arial" w:hAnsi="Arial" w:hint="cs"/>
          <w:noProof w:val="0"/>
          <w:rtl/>
        </w:rPr>
        <w:t xml:space="preserve">נסיעתם </w:t>
      </w:r>
      <w:r>
        <w:rPr>
          <w:rFonts w:ascii="Arial" w:hAnsi="Arial" w:hint="cs"/>
          <w:noProof w:val="0"/>
          <w:rtl/>
        </w:rPr>
        <w:t xml:space="preserve">של הקטינים לישראל </w:t>
      </w:r>
      <w:r w:rsidR="00353476">
        <w:rPr>
          <w:rFonts w:ascii="Arial" w:hAnsi="Arial" w:hint="cs"/>
          <w:noProof w:val="0"/>
          <w:rtl/>
        </w:rPr>
        <w:t xml:space="preserve">ואי החזרתם, הנה </w:t>
      </w:r>
      <w:r>
        <w:rPr>
          <w:rFonts w:ascii="Arial" w:hAnsi="Arial" w:hint="cs"/>
          <w:noProof w:val="0"/>
          <w:rtl/>
        </w:rPr>
        <w:t>שלא כדין.  לטעמי התשובה לשאלה זו הנה בשלילה.  כאמור  לעיל, בין הצדד</w:t>
      </w:r>
      <w:r w:rsidR="00D81AD3">
        <w:rPr>
          <w:rFonts w:ascii="Arial" w:hAnsi="Arial" w:hint="cs"/>
          <w:noProof w:val="0"/>
          <w:rtl/>
        </w:rPr>
        <w:t>ים נחתם הסכם שאושר וקיבל תוקף של פסק דין</w:t>
      </w:r>
      <w:r w:rsidR="00130FF8">
        <w:rPr>
          <w:rFonts w:ascii="Arial" w:hAnsi="Arial" w:hint="cs"/>
          <w:noProof w:val="0"/>
          <w:rtl/>
        </w:rPr>
        <w:t xml:space="preserve"> מחייב ומהווה צו שיפוטי לכל דבר ועניין</w:t>
      </w:r>
      <w:r w:rsidR="00D81AD3">
        <w:rPr>
          <w:rFonts w:ascii="Arial" w:hAnsi="Arial" w:hint="cs"/>
          <w:noProof w:val="0"/>
          <w:rtl/>
        </w:rPr>
        <w:t xml:space="preserve">. </w:t>
      </w:r>
      <w:r w:rsidR="00130FF8">
        <w:rPr>
          <w:rFonts w:ascii="Arial" w:hAnsi="Arial" w:hint="cs"/>
          <w:noProof w:val="0"/>
          <w:rtl/>
        </w:rPr>
        <w:t xml:space="preserve"> </w:t>
      </w:r>
      <w:r w:rsidR="00D81AD3">
        <w:rPr>
          <w:rFonts w:ascii="Arial" w:hAnsi="Arial" w:hint="cs"/>
          <w:noProof w:val="0"/>
          <w:rtl/>
        </w:rPr>
        <w:t>באותו הסכם</w:t>
      </w:r>
      <w:r w:rsidR="00130FF8">
        <w:rPr>
          <w:rFonts w:ascii="Arial" w:hAnsi="Arial" w:hint="cs"/>
          <w:noProof w:val="0"/>
          <w:rtl/>
        </w:rPr>
        <w:t xml:space="preserve"> נקבע, </w:t>
      </w:r>
      <w:r w:rsidR="00D81AD3">
        <w:rPr>
          <w:rFonts w:ascii="Arial" w:hAnsi="Arial" w:hint="cs"/>
          <w:noProof w:val="0"/>
          <w:rtl/>
        </w:rPr>
        <w:t>באופן ברור ומפורש</w:t>
      </w:r>
      <w:r w:rsidR="00353476">
        <w:rPr>
          <w:rFonts w:ascii="Arial" w:hAnsi="Arial" w:hint="cs"/>
          <w:noProof w:val="0"/>
          <w:rtl/>
        </w:rPr>
        <w:t>,</w:t>
      </w:r>
      <w:r w:rsidR="00D81AD3">
        <w:rPr>
          <w:rFonts w:ascii="Arial" w:hAnsi="Arial" w:hint="cs"/>
          <w:noProof w:val="0"/>
          <w:rtl/>
        </w:rPr>
        <w:t xml:space="preserve"> כי הנתבעת רשאית להעתיק את מקום מגורי הקטינים לישראל, זאת במתן הודעה מוקדמת בת 90 יום לפחות. </w:t>
      </w:r>
      <w:r w:rsidR="00353476">
        <w:rPr>
          <w:rFonts w:ascii="Arial" w:hAnsi="Arial" w:hint="cs"/>
          <w:noProof w:val="0"/>
          <w:rtl/>
        </w:rPr>
        <w:t xml:space="preserve"> </w:t>
      </w:r>
      <w:r w:rsidR="00353476" w:rsidRPr="00353476">
        <w:rPr>
          <w:rFonts w:ascii="Arial" w:hAnsi="Arial" w:hint="cs"/>
          <w:b/>
          <w:bCs/>
          <w:noProof w:val="0"/>
          <w:u w:val="single"/>
          <w:rtl/>
        </w:rPr>
        <w:t>מדובר בצו שיפוטי לכל דבר ועניין</w:t>
      </w:r>
      <w:r w:rsidR="00353476">
        <w:rPr>
          <w:rFonts w:ascii="Arial" w:hAnsi="Arial" w:hint="cs"/>
          <w:noProof w:val="0"/>
          <w:rtl/>
        </w:rPr>
        <w:t xml:space="preserve">. </w:t>
      </w:r>
      <w:r w:rsidR="00D81AD3">
        <w:rPr>
          <w:rFonts w:ascii="Arial" w:hAnsi="Arial" w:hint="cs"/>
          <w:noProof w:val="0"/>
          <w:rtl/>
        </w:rPr>
        <w:t>אין חולק כי הנתבעת נתנה בידי התובע הודעה מוקדמת כ</w:t>
      </w:r>
      <w:r w:rsidR="00353476">
        <w:rPr>
          <w:rFonts w:ascii="Arial" w:hAnsi="Arial" w:hint="cs"/>
          <w:noProof w:val="0"/>
          <w:rtl/>
        </w:rPr>
        <w:t xml:space="preserve">נדרש, </w:t>
      </w:r>
      <w:r w:rsidR="00D81AD3">
        <w:rPr>
          <w:rFonts w:ascii="Arial" w:hAnsi="Arial" w:hint="cs"/>
          <w:noProof w:val="0"/>
          <w:rtl/>
        </w:rPr>
        <w:t>בת יותר מ- 90 יום</w:t>
      </w:r>
      <w:r w:rsidR="00130FF8">
        <w:rPr>
          <w:rFonts w:ascii="Arial" w:hAnsi="Arial" w:hint="cs"/>
          <w:noProof w:val="0"/>
          <w:rtl/>
        </w:rPr>
        <w:t xml:space="preserve">.  </w:t>
      </w:r>
      <w:r w:rsidR="00D81AD3">
        <w:rPr>
          <w:rFonts w:ascii="Arial" w:hAnsi="Arial" w:hint="cs"/>
          <w:noProof w:val="0"/>
          <w:rtl/>
        </w:rPr>
        <w:t>אין חולק כי גם בעבר</w:t>
      </w:r>
      <w:r w:rsidR="00130FF8">
        <w:rPr>
          <w:rFonts w:ascii="Arial" w:hAnsi="Arial" w:hint="cs"/>
          <w:noProof w:val="0"/>
          <w:rtl/>
        </w:rPr>
        <w:t xml:space="preserve">, משך מספר שנים ברציפות, </w:t>
      </w:r>
      <w:r w:rsidR="00D81AD3">
        <w:rPr>
          <w:rFonts w:ascii="Arial" w:hAnsi="Arial" w:hint="cs"/>
          <w:noProof w:val="0"/>
          <w:rtl/>
        </w:rPr>
        <w:t xml:space="preserve">הודיעה הנתבעת לתובע על רצונה לעבור לגור עם הקטינים בישראל. </w:t>
      </w:r>
      <w:r w:rsidR="00130FF8">
        <w:rPr>
          <w:rFonts w:ascii="Arial" w:hAnsi="Arial" w:hint="cs"/>
          <w:noProof w:val="0"/>
          <w:rtl/>
        </w:rPr>
        <w:t xml:space="preserve"> </w:t>
      </w:r>
      <w:r w:rsidR="00D81AD3">
        <w:rPr>
          <w:rFonts w:ascii="Arial" w:hAnsi="Arial" w:hint="cs"/>
          <w:noProof w:val="0"/>
          <w:rtl/>
        </w:rPr>
        <w:t>כלומר</w:t>
      </w:r>
      <w:r w:rsidR="003D76D8">
        <w:rPr>
          <w:rFonts w:ascii="Arial" w:hAnsi="Arial" w:hint="cs"/>
          <w:noProof w:val="0"/>
          <w:rtl/>
        </w:rPr>
        <w:t xml:space="preserve">, התובע </w:t>
      </w:r>
      <w:r w:rsidR="00130FF8">
        <w:rPr>
          <w:rFonts w:ascii="Arial" w:hAnsi="Arial" w:hint="cs"/>
          <w:noProof w:val="0"/>
          <w:rtl/>
        </w:rPr>
        <w:t>היה מודע ל</w:t>
      </w:r>
      <w:r w:rsidR="003D76D8">
        <w:rPr>
          <w:rFonts w:ascii="Arial" w:hAnsi="Arial" w:hint="cs"/>
          <w:noProof w:val="0"/>
          <w:rtl/>
        </w:rPr>
        <w:t>רצונה של הנתבעת</w:t>
      </w:r>
      <w:r w:rsidR="00130FF8">
        <w:rPr>
          <w:rFonts w:ascii="Arial" w:hAnsi="Arial" w:hint="cs"/>
          <w:noProof w:val="0"/>
          <w:rtl/>
        </w:rPr>
        <w:t xml:space="preserve"> לעשות שימוש בזכות שניתנה לה, ולעבור עם הקטינים לישראל</w:t>
      </w:r>
      <w:r w:rsidR="003D76D8">
        <w:rPr>
          <w:rFonts w:ascii="Arial" w:hAnsi="Arial" w:hint="cs"/>
          <w:noProof w:val="0"/>
          <w:rtl/>
        </w:rPr>
        <w:t>, כך על פני מספר שנים</w:t>
      </w:r>
      <w:r w:rsidR="00130FF8">
        <w:rPr>
          <w:rFonts w:ascii="Arial" w:hAnsi="Arial" w:hint="cs"/>
          <w:noProof w:val="0"/>
          <w:rtl/>
        </w:rPr>
        <w:t xml:space="preserve">. למרות ידיעתו כאמור, </w:t>
      </w:r>
      <w:r w:rsidR="003D76D8">
        <w:rPr>
          <w:rFonts w:ascii="Arial" w:hAnsi="Arial" w:hint="cs"/>
          <w:noProof w:val="0"/>
          <w:rtl/>
        </w:rPr>
        <w:t xml:space="preserve">לא ביצע כל פעולה </w:t>
      </w:r>
      <w:r w:rsidR="00353476">
        <w:rPr>
          <w:rFonts w:ascii="Arial" w:hAnsi="Arial" w:hint="cs"/>
          <w:noProof w:val="0"/>
          <w:rtl/>
        </w:rPr>
        <w:t xml:space="preserve">משמעותית </w:t>
      </w:r>
      <w:r w:rsidR="003D76D8">
        <w:rPr>
          <w:rFonts w:ascii="Arial" w:hAnsi="Arial" w:hint="cs"/>
          <w:noProof w:val="0"/>
          <w:rtl/>
        </w:rPr>
        <w:t xml:space="preserve">שתכליתה מניעת יציאת הקטינים מישראל, בין במסגרת בקשה לצו עיכוב יציאה, </w:t>
      </w:r>
      <w:r w:rsidR="007C1F8D">
        <w:rPr>
          <w:rFonts w:ascii="Arial" w:hAnsi="Arial" w:hint="cs"/>
          <w:noProof w:val="0"/>
          <w:rtl/>
        </w:rPr>
        <w:t>ובין במסגרת של תביעה לביטול או שינוי הסכם הגירושין.  בכל הכבוד, מדובר בפסק דין, וטענותיו לשינוי נסיבות, יכולות להטען, אם בכלל, במסגרת תביעה מתאימה לשינוי ההסכם.</w:t>
      </w:r>
    </w:p>
    <w:p w:rsidR="00E85B90" w:rsidRPr="00E85B90" w:rsidRDefault="00E85B90" w:rsidP="00E85B90">
      <w:pPr>
        <w:pStyle w:val="ad"/>
        <w:rPr>
          <w:rFonts w:ascii="Arial" w:hAnsi="Arial"/>
          <w:b/>
          <w:bCs/>
          <w:noProof w:val="0"/>
          <w:u w:val="single"/>
          <w:rtl/>
        </w:rPr>
      </w:pPr>
    </w:p>
    <w:p w:rsidR="00130FF8" w:rsidRPr="0088725B" w:rsidRDefault="006876F6" w:rsidP="00E419D7">
      <w:pPr>
        <w:pStyle w:val="ad"/>
        <w:numPr>
          <w:ilvl w:val="0"/>
          <w:numId w:val="1"/>
        </w:numPr>
        <w:spacing w:line="360" w:lineRule="auto"/>
        <w:jc w:val="both"/>
        <w:rPr>
          <w:rFonts w:ascii="Arial" w:hAnsi="Arial"/>
          <w:noProof w:val="0"/>
        </w:rPr>
      </w:pPr>
      <w:r w:rsidRPr="006876F6">
        <w:rPr>
          <w:rFonts w:ascii="Arial" w:hAnsi="Arial" w:hint="cs"/>
          <w:b/>
          <w:bCs/>
          <w:noProof w:val="0"/>
          <w:u w:val="single"/>
          <w:rtl/>
        </w:rPr>
        <w:t xml:space="preserve">מקום המגורים הרגיל </w:t>
      </w:r>
      <w:r w:rsidR="00130FF8">
        <w:rPr>
          <w:rFonts w:ascii="Arial" w:hAnsi="Arial"/>
          <w:b/>
          <w:bCs/>
          <w:noProof w:val="0"/>
          <w:u w:val="single"/>
          <w:rtl/>
        </w:rPr>
        <w:t>–</w:t>
      </w:r>
      <w:r w:rsidRPr="006876F6">
        <w:rPr>
          <w:rFonts w:ascii="Arial" w:hAnsi="Arial" w:hint="cs"/>
          <w:b/>
          <w:bCs/>
          <w:noProof w:val="0"/>
          <w:u w:val="single"/>
          <w:rtl/>
        </w:rPr>
        <w:t xml:space="preserve"> </w:t>
      </w:r>
      <w:r w:rsidR="00130FF8">
        <w:rPr>
          <w:rFonts w:ascii="Arial" w:hAnsi="Arial" w:hint="cs"/>
          <w:noProof w:val="0"/>
          <w:rtl/>
        </w:rPr>
        <w:t>לאחר בחינת כלל הנתונים, דומני כי מקום המגורים הרגיל של הקטינים א</w:t>
      </w:r>
      <w:r w:rsidR="00E419D7">
        <w:rPr>
          <w:rFonts w:ascii="Arial" w:hAnsi="Arial" w:hint="cs"/>
          <w:noProof w:val="0"/>
          <w:rtl/>
        </w:rPr>
        <w:t>'</w:t>
      </w:r>
      <w:r w:rsidR="00130FF8">
        <w:rPr>
          <w:rFonts w:ascii="Arial" w:hAnsi="Arial" w:hint="cs"/>
          <w:noProof w:val="0"/>
          <w:rtl/>
        </w:rPr>
        <w:t xml:space="preserve"> ופ</w:t>
      </w:r>
      <w:r w:rsidR="00E419D7">
        <w:rPr>
          <w:rFonts w:ascii="Arial" w:hAnsi="Arial" w:hint="cs"/>
          <w:noProof w:val="0"/>
          <w:rtl/>
        </w:rPr>
        <w:t>'</w:t>
      </w:r>
      <w:r w:rsidR="00130FF8">
        <w:rPr>
          <w:rFonts w:ascii="Arial" w:hAnsi="Arial" w:hint="cs"/>
          <w:noProof w:val="0"/>
          <w:rtl/>
        </w:rPr>
        <w:t xml:space="preserve"> בישראל.  אנמק. </w:t>
      </w:r>
      <w:r w:rsidR="00130FF8" w:rsidRPr="00130FF8">
        <w:rPr>
          <w:rFonts w:ascii="Arial" w:hAnsi="Arial" w:hint="cs"/>
          <w:noProof w:val="0"/>
          <w:rtl/>
        </w:rPr>
        <w:t xml:space="preserve">כאמור לעיל, </w:t>
      </w:r>
      <w:r w:rsidR="0088725B">
        <w:rPr>
          <w:rFonts w:ascii="Arial" w:hAnsi="Arial" w:hint="cs"/>
          <w:noProof w:val="0"/>
          <w:rtl/>
        </w:rPr>
        <w:t xml:space="preserve">הפסיקה נעה בין </w:t>
      </w:r>
      <w:r w:rsidR="0088725B" w:rsidRPr="00130FF8">
        <w:rPr>
          <w:rFonts w:ascii="Arial" w:hAnsi="Arial"/>
          <w:b/>
          <w:bCs/>
          <w:noProof w:val="0"/>
          <w:rtl/>
        </w:rPr>
        <w:t>"האסכולה העובדתית</w:t>
      </w:r>
      <w:r w:rsidR="0088725B" w:rsidRPr="00130FF8">
        <w:rPr>
          <w:rFonts w:ascii="Arial" w:hAnsi="Arial"/>
          <w:noProof w:val="0"/>
          <w:rtl/>
        </w:rPr>
        <w:t>"</w:t>
      </w:r>
      <w:r w:rsidR="0088725B">
        <w:rPr>
          <w:rFonts w:ascii="Arial" w:hAnsi="Arial" w:hint="cs"/>
          <w:noProof w:val="0"/>
          <w:rtl/>
        </w:rPr>
        <w:t xml:space="preserve">, </w:t>
      </w:r>
      <w:r w:rsidR="0088725B" w:rsidRPr="00130FF8">
        <w:rPr>
          <w:rFonts w:ascii="Arial" w:hAnsi="Arial"/>
          <w:noProof w:val="0"/>
          <w:rtl/>
        </w:rPr>
        <w:lastRenderedPageBreak/>
        <w:t>לפיה, על בית המשפט לבחון עובדתית היכן שהו בני הזוג, מבלי להידרש לכוונות או רצונות לפעולות עתידיות</w:t>
      </w:r>
      <w:r w:rsidR="0088725B">
        <w:rPr>
          <w:rFonts w:ascii="Arial" w:hAnsi="Arial" w:hint="cs"/>
          <w:noProof w:val="0"/>
          <w:rtl/>
        </w:rPr>
        <w:t xml:space="preserve">, לבין </w:t>
      </w:r>
      <w:r w:rsidR="0088725B" w:rsidRPr="00130FF8">
        <w:rPr>
          <w:rFonts w:ascii="Arial" w:hAnsi="Arial"/>
          <w:b/>
          <w:bCs/>
          <w:noProof w:val="0"/>
          <w:rtl/>
        </w:rPr>
        <w:t>"האסכולה הכוונתית</w:t>
      </w:r>
      <w:r w:rsidR="0088725B" w:rsidRPr="00130FF8">
        <w:rPr>
          <w:rFonts w:ascii="Arial" w:hAnsi="Arial"/>
          <w:noProof w:val="0"/>
          <w:rtl/>
        </w:rPr>
        <w:t>",</w:t>
      </w:r>
      <w:r w:rsidR="0088725B">
        <w:rPr>
          <w:rFonts w:ascii="Arial" w:hAnsi="Arial" w:hint="cs"/>
          <w:noProof w:val="0"/>
          <w:rtl/>
        </w:rPr>
        <w:t xml:space="preserve"> </w:t>
      </w:r>
      <w:r w:rsidR="0088725B" w:rsidRPr="00130FF8">
        <w:rPr>
          <w:rFonts w:ascii="Arial" w:hAnsi="Arial"/>
          <w:noProof w:val="0"/>
          <w:rtl/>
        </w:rPr>
        <w:t>אשר שמ</w:t>
      </w:r>
      <w:r w:rsidR="0088725B">
        <w:rPr>
          <w:rFonts w:ascii="Arial" w:hAnsi="Arial"/>
          <w:noProof w:val="0"/>
          <w:rtl/>
        </w:rPr>
        <w:t>ה את עיקר הדגש על כוונת ההורים.</w:t>
      </w:r>
      <w:r w:rsidR="0088725B">
        <w:rPr>
          <w:rFonts w:ascii="Arial" w:hAnsi="Arial" w:hint="cs"/>
          <w:noProof w:val="0"/>
          <w:rtl/>
        </w:rPr>
        <w:t xml:space="preserve"> </w:t>
      </w:r>
      <w:r w:rsidR="00130FF8" w:rsidRPr="0088725B">
        <w:rPr>
          <w:rFonts w:ascii="Arial" w:hAnsi="Arial" w:hint="cs"/>
          <w:noProof w:val="0"/>
          <w:rtl/>
        </w:rPr>
        <w:t xml:space="preserve">בהתאם לדברי כב' הש' הנדל, על בית המשפט לבצע בדיקת עובדתית רחבה, הכוללת את כלל העובדות, מתוך זווית ראייתו של הקטין הספציפי. </w:t>
      </w:r>
      <w:r w:rsidR="0088725B">
        <w:rPr>
          <w:rFonts w:ascii="Arial" w:hAnsi="Arial" w:hint="cs"/>
          <w:noProof w:val="0"/>
          <w:rtl/>
        </w:rPr>
        <w:t xml:space="preserve">  </w:t>
      </w:r>
      <w:r w:rsidR="00130FF8" w:rsidRPr="0088725B">
        <w:rPr>
          <w:rFonts w:ascii="Arial" w:hAnsi="Arial" w:hint="cs"/>
          <w:b/>
          <w:bCs/>
          <w:noProof w:val="0"/>
          <w:u w:val="single"/>
          <w:rtl/>
        </w:rPr>
        <w:t>במקרה דנן</w:t>
      </w:r>
      <w:r w:rsidR="00130FF8" w:rsidRPr="0088725B">
        <w:rPr>
          <w:rFonts w:ascii="Arial" w:hAnsi="Arial" w:hint="cs"/>
          <w:noProof w:val="0"/>
          <w:rtl/>
        </w:rPr>
        <w:t>, אמנם נכון כי הקטינים נולדו וגדלו באוסטרליה, ואולם, סוגיית המעבר לישראל עמדה ברקע מזה מספר שנים, הם היו מודעים לה, ואף ביקרו בישראל בעבר, הכירו את המקום ואת בני משפחתם המורחבת.  הקטינים נמצאים בישראל מאז חודש ינואר, ומתוך כלל הנתונים עולה כי הם השתלבו היטב, כך גם מבחינה חברתית, גם במסגרות החינוך, וגם בקרב בני משפחתם המורחבת.  כאמור לעיל, הקטינים הביעו את רצונם הברור להתגורר בישראל לפני מספר גורמים, כולל מומחה בית המשפט.  לכל האמור יש להוסיף את העובדה כי הצדדים הביעו כוונה ברורה לאפשר את שינוי מקום המגורים, כפי שזו באה לידי ביטוי בהסכם ביניהם.   למסקנה זו מגיעה גם השופטת בפס</w:t>
      </w:r>
      <w:r w:rsidR="0088725B">
        <w:rPr>
          <w:rFonts w:ascii="Arial" w:hAnsi="Arial" w:hint="cs"/>
          <w:noProof w:val="0"/>
          <w:rtl/>
        </w:rPr>
        <w:t xml:space="preserve">ק הדין האוסטרלי [ר' ס' 53, 54], ואני מסכים עם גישתה. </w:t>
      </w:r>
    </w:p>
    <w:p w:rsidR="00130FF8" w:rsidRPr="00130FF8" w:rsidRDefault="00130FF8" w:rsidP="00130FF8">
      <w:pPr>
        <w:pStyle w:val="ad"/>
        <w:rPr>
          <w:rFonts w:ascii="Arial" w:hAnsi="Arial"/>
          <w:noProof w:val="0"/>
          <w:rtl/>
        </w:rPr>
      </w:pPr>
    </w:p>
    <w:p w:rsidR="00130FF8" w:rsidRPr="006876F6" w:rsidRDefault="00130FF8" w:rsidP="00130FF8">
      <w:pPr>
        <w:pStyle w:val="ad"/>
        <w:spacing w:line="360" w:lineRule="auto"/>
        <w:jc w:val="both"/>
        <w:rPr>
          <w:rFonts w:ascii="Arial" w:hAnsi="Arial"/>
          <w:b/>
          <w:bCs/>
          <w:noProof w:val="0"/>
          <w:u w:val="single"/>
        </w:rPr>
      </w:pPr>
    </w:p>
    <w:p w:rsidR="00E85B90" w:rsidRPr="00E85B90" w:rsidRDefault="007C1F8D" w:rsidP="006876F6">
      <w:pPr>
        <w:pStyle w:val="ad"/>
        <w:numPr>
          <w:ilvl w:val="0"/>
          <w:numId w:val="1"/>
        </w:numPr>
        <w:spacing w:line="360" w:lineRule="auto"/>
        <w:jc w:val="both"/>
        <w:rPr>
          <w:rFonts w:ascii="Arial" w:hAnsi="Arial"/>
          <w:noProof w:val="0"/>
        </w:rPr>
      </w:pPr>
      <w:r w:rsidRPr="00E85B90">
        <w:rPr>
          <w:rFonts w:ascii="Arial" w:hAnsi="Arial" w:hint="cs"/>
          <w:b/>
          <w:bCs/>
          <w:noProof w:val="0"/>
          <w:u w:val="single"/>
          <w:rtl/>
        </w:rPr>
        <w:t>חוו"ד המומחה</w:t>
      </w:r>
      <w:r w:rsidRPr="00E85B90">
        <w:rPr>
          <w:rFonts w:ascii="Arial" w:hAnsi="Arial" w:hint="cs"/>
          <w:noProof w:val="0"/>
          <w:rtl/>
        </w:rPr>
        <w:t xml:space="preserve"> - </w:t>
      </w:r>
      <w:r w:rsidR="00E85B90" w:rsidRPr="00E85B90">
        <w:rPr>
          <w:rFonts w:ascii="Arial" w:hAnsi="Arial"/>
          <w:noProof w:val="0"/>
          <w:rtl/>
        </w:rPr>
        <w:t xml:space="preserve">כידוע, </w:t>
      </w:r>
      <w:r w:rsidR="00E85B90" w:rsidRPr="00E85B90">
        <w:rPr>
          <w:rFonts w:ascii="Arial" w:hAnsi="Arial"/>
          <w:rtl/>
        </w:rPr>
        <w:t xml:space="preserve">בהתאם לפסיקה, יש ליתן להמלצות מומחה שמונה על ידי בית המשפט, משקל רב ביותר, ובהעדר ראיות בעלות משקל לסתירת האמור בחוו"ד, ייטה בית המשפט לאמץ את המלצות ממצאי חוו"ד ומסקנותיה [בע"מ 4575/00 פלונית, מפי כבוד השופטת דורנר, פורסם במאגרים המקוונים, וגם בע"מ 27/06 פלוני, מפי כבוד השופטת ארבל, פורסמו במאגרים המקוונים].  עם זאת, בהתאם לפסיקה ממילא בית המשפט הוא הגורם המכריע, ולבית המשפט תמיד נתון שיקול הדעת הסופי, כאשר כל מקרה יוכרע לגופו, ובהתאם לנתונים שיונחו בפני בית המשפט.  בפסיקה נקבע כי: </w:t>
      </w:r>
    </w:p>
    <w:p w:rsidR="00E85B90" w:rsidRDefault="00E85B90" w:rsidP="00E85B90">
      <w:pPr>
        <w:pStyle w:val="ad"/>
        <w:rPr>
          <w:rFonts w:ascii="David" w:hAnsi="David"/>
          <w:b/>
          <w:bCs/>
          <w:rtl/>
        </w:rPr>
      </w:pPr>
    </w:p>
    <w:p w:rsidR="00E85B90" w:rsidRDefault="00E85B90" w:rsidP="00E85B90">
      <w:pPr>
        <w:pStyle w:val="ad"/>
        <w:spacing w:line="360" w:lineRule="auto"/>
        <w:ind w:left="1701" w:right="1134"/>
        <w:jc w:val="both"/>
        <w:rPr>
          <w:rFonts w:ascii="Arial" w:hAnsi="Arial"/>
        </w:rPr>
      </w:pPr>
      <w:r>
        <w:rPr>
          <w:rFonts w:ascii="David" w:hAnsi="David"/>
          <w:b/>
          <w:bCs/>
          <w:rtl/>
        </w:rPr>
        <w:t xml:space="preserve">"...הגם שככלל, מטבע הדברים, יינתן במסגרת הבחינה השיפוטית משקל רב ביותר לעמדתם של מומחים מקצועיים, הרי ההכרעה השיפוטית מתחת ידו של השופט היא יוצאת, לא מתחת ידו של המומחה המקצועי. כבכל תחום בו מתבקשת קבלת חוות דעת מומחה, אין בית המשפט משמש "חותמת גומי" לעמדת המומחה המקצועי, אין הוא רואה בה עובדה מוגמרת אלא המלצה אשר ככלל יש ליתן לה משקל רב ביותר, אך לא מכריע. האחריות בקבלת ההכרעה מוטלת אפוא כולה על כתפי בית המשפט ואין הוא חולק בנטל האחריות עם כל מומחה או מומחים מקצועיים, יהיו אלה רבים ככל שיהיו. לפיכך, משהונחה בפני בית המשפט חוות דעת מומחה, וגם אם תהא זו נחרצת, ברורה וחד משמעית, אין בית המשפט פטור מהפעלת שיקול דעת שיפוטי עצמאי בגיבוש </w:t>
      </w:r>
      <w:r>
        <w:rPr>
          <w:rFonts w:ascii="David" w:hAnsi="David"/>
          <w:b/>
          <w:bCs/>
          <w:rtl/>
        </w:rPr>
        <w:lastRenderedPageBreak/>
        <w:t>הכרעתו. אכן, בתחום רגיש, עדין ומורכב... נדרש בית המשפט לגבש הכרעה עצמאית, תוך שהוא נעזר בחוות דעת הגורמים המקצועיים שמונו על ידי בית המשפט, בראיות נוספות אשר הובאו בפניו ואשר את המשקל שיש ליתן להן הוא בוחן, באמות המידה שהתווה המחוקק, בפסיקת בתי המשפט, ואולי יותר מכל - תוך שהוא מדריך עצמו בניסיון החיים, בשכל ישר, ברגישות ובהבנה למצבו המורכב של כל אחד מן המעורבים בעניינים אלה..."</w:t>
      </w:r>
      <w:r>
        <w:rPr>
          <w:rFonts w:ascii="David" w:hAnsi="David"/>
          <w:rtl/>
        </w:rPr>
        <w:t xml:space="preserve"> (בע"מ 27/06 </w:t>
      </w:r>
      <w:r>
        <w:rPr>
          <w:rFonts w:ascii="David" w:hAnsi="David"/>
          <w:b/>
          <w:bCs/>
          <w:rtl/>
        </w:rPr>
        <w:t>פלוני נ' פלוני</w:t>
      </w:r>
      <w:r>
        <w:rPr>
          <w:rFonts w:ascii="David" w:hAnsi="David"/>
          <w:rtl/>
        </w:rPr>
        <w:t xml:space="preserve"> (1.5.06) ציטוט מסעיף 15 לפסק הדין).</w:t>
      </w:r>
    </w:p>
    <w:p w:rsidR="00CD1CBA" w:rsidRPr="00CD1CBA" w:rsidRDefault="00CD1CBA" w:rsidP="00E85B90">
      <w:pPr>
        <w:pStyle w:val="ad"/>
        <w:spacing w:line="360" w:lineRule="auto"/>
        <w:jc w:val="both"/>
        <w:rPr>
          <w:rFonts w:ascii="Arial" w:hAnsi="Arial"/>
          <w:noProof w:val="0"/>
        </w:rPr>
      </w:pPr>
    </w:p>
    <w:p w:rsidR="00E85B90" w:rsidRDefault="00E85B90" w:rsidP="006876F6">
      <w:pPr>
        <w:pStyle w:val="ad"/>
        <w:numPr>
          <w:ilvl w:val="0"/>
          <w:numId w:val="1"/>
        </w:numPr>
        <w:spacing w:line="360" w:lineRule="auto"/>
        <w:jc w:val="both"/>
        <w:rPr>
          <w:rFonts w:ascii="Arial" w:hAnsi="Arial"/>
          <w:noProof w:val="0"/>
        </w:rPr>
      </w:pPr>
      <w:r>
        <w:rPr>
          <w:rFonts w:ascii="Arial" w:hAnsi="Arial" w:hint="cs"/>
          <w:noProof w:val="0"/>
          <w:rtl/>
        </w:rPr>
        <w:t xml:space="preserve">במקרה זה, לנוכח כלל הנסיבות, דומני כי קיים קושי עם מסקנתו של המומחה לפיה אין מקום ליתן משקל לעמדת הקטינים, זאת חרף העובדה כי שניהם הביעו רצון להישאר בישראל, </w:t>
      </w:r>
      <w:r w:rsidR="00653F26">
        <w:rPr>
          <w:rFonts w:ascii="Arial" w:hAnsi="Arial" w:hint="cs"/>
          <w:noProof w:val="0"/>
          <w:rtl/>
        </w:rPr>
        <w:t xml:space="preserve">כך </w:t>
      </w:r>
      <w:r>
        <w:rPr>
          <w:rFonts w:ascii="Arial" w:hAnsi="Arial" w:hint="cs"/>
          <w:noProof w:val="0"/>
          <w:rtl/>
        </w:rPr>
        <w:t xml:space="preserve">גם לפני המומחה, גם לפני האפ' לדין, וגם לפני בית המשפט.  אמנם אין מדובר בקטינים ברף הגיל הגבוה, ואולם לא ניתן לומר כי קטין בן 13 אינו יכול לגבש דעה מוצקה וברורה.  </w:t>
      </w:r>
      <w:r w:rsidR="002B3FAD">
        <w:rPr>
          <w:rFonts w:ascii="Arial" w:hAnsi="Arial" w:hint="cs"/>
          <w:noProof w:val="0"/>
          <w:rtl/>
        </w:rPr>
        <w:t xml:space="preserve">את סוגיית הקשר בין האב לקטינים ניתן לפתור באמצעות מתן הוראות דרושות, וגם גם לוודא שיתוף פעולה מצד האם. </w:t>
      </w:r>
    </w:p>
    <w:p w:rsidR="00D975DD" w:rsidRDefault="00D975DD" w:rsidP="00D975DD">
      <w:pPr>
        <w:pStyle w:val="ad"/>
        <w:spacing w:line="360" w:lineRule="auto"/>
        <w:jc w:val="both"/>
        <w:rPr>
          <w:rFonts w:ascii="Arial" w:hAnsi="Arial"/>
          <w:noProof w:val="0"/>
        </w:rPr>
      </w:pPr>
    </w:p>
    <w:p w:rsidR="00D63CB3" w:rsidRDefault="00D63CB3" w:rsidP="006876F6">
      <w:pPr>
        <w:pStyle w:val="ad"/>
        <w:numPr>
          <w:ilvl w:val="0"/>
          <w:numId w:val="1"/>
        </w:numPr>
        <w:spacing w:line="360" w:lineRule="auto"/>
        <w:jc w:val="both"/>
        <w:rPr>
          <w:rFonts w:ascii="David" w:eastAsia="Calibri" w:hAnsi="David"/>
          <w:noProof w:val="0"/>
        </w:rPr>
      </w:pPr>
      <w:r w:rsidRPr="00D975DD">
        <w:rPr>
          <w:rFonts w:ascii="David" w:eastAsia="Calibri" w:hAnsi="David"/>
          <w:b/>
          <w:bCs/>
          <w:noProof w:val="0"/>
          <w:u w:val="single"/>
          <w:rtl/>
        </w:rPr>
        <w:t>פרשנות ה</w:t>
      </w:r>
      <w:r w:rsidR="00D975DD" w:rsidRPr="00D975DD">
        <w:rPr>
          <w:rFonts w:ascii="David" w:eastAsia="Calibri" w:hAnsi="David" w:hint="cs"/>
          <w:b/>
          <w:bCs/>
          <w:noProof w:val="0"/>
          <w:u w:val="single"/>
          <w:rtl/>
        </w:rPr>
        <w:t>ה</w:t>
      </w:r>
      <w:r w:rsidRPr="00D975DD">
        <w:rPr>
          <w:rFonts w:ascii="David" w:eastAsia="Calibri" w:hAnsi="David"/>
          <w:b/>
          <w:bCs/>
          <w:noProof w:val="0"/>
          <w:u w:val="single"/>
          <w:rtl/>
        </w:rPr>
        <w:t xml:space="preserve">סכם </w:t>
      </w:r>
      <w:r w:rsidR="00130FF8">
        <w:rPr>
          <w:rFonts w:ascii="David" w:eastAsia="Calibri" w:hAnsi="David" w:hint="cs"/>
          <w:b/>
          <w:bCs/>
          <w:noProof w:val="0"/>
          <w:u w:val="single"/>
          <w:rtl/>
        </w:rPr>
        <w:t>וכוונת הצדדים</w:t>
      </w:r>
      <w:r w:rsidRPr="00D975DD">
        <w:rPr>
          <w:rFonts w:ascii="David" w:eastAsia="Calibri" w:hAnsi="David"/>
          <w:b/>
          <w:bCs/>
          <w:noProof w:val="0"/>
          <w:u w:val="single"/>
          <w:rtl/>
        </w:rPr>
        <w:t xml:space="preserve">– </w:t>
      </w:r>
      <w:r w:rsidRPr="00D975DD">
        <w:rPr>
          <w:rFonts w:ascii="David" w:hAnsi="David"/>
          <w:rtl/>
        </w:rPr>
        <w:t>הכללים המנחים לעניין פרשנות  הסכם  קבועים בסעיף 25(א) ל</w:t>
      </w:r>
      <w:hyperlink r:id="rId16" w:history="1">
        <w:r w:rsidRPr="00D975DD">
          <w:rPr>
            <w:rStyle w:val="Hyperlink"/>
            <w:rFonts w:ascii="David" w:hAnsi="David"/>
            <w:rtl/>
          </w:rPr>
          <w:t>חוק החוזים (חלק כללי)</w:t>
        </w:r>
      </w:hyperlink>
      <w:r w:rsidRPr="00D975DD">
        <w:rPr>
          <w:rFonts w:ascii="David" w:hAnsi="David"/>
          <w:rtl/>
        </w:rPr>
        <w:t>, התשל"ג-1973 (להלן: "חוק החוזים"), הקובע כדלקמן:</w:t>
      </w:r>
    </w:p>
    <w:p w:rsidR="00D975DD" w:rsidRDefault="00D975DD" w:rsidP="00D975DD">
      <w:pPr>
        <w:pStyle w:val="ad"/>
        <w:rPr>
          <w:rFonts w:ascii="David" w:eastAsia="Calibri" w:hAnsi="David"/>
          <w:noProof w:val="0"/>
          <w:rtl/>
        </w:rPr>
      </w:pPr>
    </w:p>
    <w:p w:rsidR="00D975DD" w:rsidRDefault="00D975DD" w:rsidP="00D975DD">
      <w:pPr>
        <w:pStyle w:val="P00"/>
        <w:spacing w:before="72"/>
        <w:ind w:left="2880" w:right="1134" w:hanging="1179"/>
        <w:rPr>
          <w:rStyle w:val="default"/>
          <w:rFonts w:cs="David"/>
          <w:b/>
          <w:bCs/>
          <w:sz w:val="24"/>
          <w:szCs w:val="24"/>
        </w:rPr>
      </w:pPr>
      <w:r>
        <w:rPr>
          <w:rStyle w:val="big-number"/>
          <w:rFonts w:cs="David"/>
          <w:b/>
          <w:bCs/>
          <w:sz w:val="24"/>
          <w:szCs w:val="24"/>
          <w:rtl/>
        </w:rPr>
        <w:t>25.</w:t>
      </w:r>
      <w:r>
        <w:rPr>
          <w:rStyle w:val="default"/>
          <w:rFonts w:cs="David"/>
          <w:b/>
          <w:bCs/>
          <w:sz w:val="24"/>
          <w:szCs w:val="24"/>
          <w:rtl/>
        </w:rPr>
        <w:t>(א)</w:t>
      </w:r>
      <w:r>
        <w:rPr>
          <w:rStyle w:val="default"/>
          <w:rFonts w:cs="David"/>
          <w:b/>
          <w:bCs/>
          <w:sz w:val="24"/>
          <w:szCs w:val="24"/>
          <w:rtl/>
        </w:rPr>
        <w:tab/>
        <w:t>חוזה יפורש לפי אומד דעתם של הצדדים, כפי שהוא משתמע מתוך החוזה ומנסיבות העניין, ואולם אם אומד דעתם של הצדדים משתמע במפורש מלשון החוזה, יפורש החוזה בהתאם ללשונו.</w:t>
      </w:r>
    </w:p>
    <w:p w:rsidR="00D975DD" w:rsidRDefault="00D975DD" w:rsidP="00D975DD">
      <w:pPr>
        <w:pStyle w:val="P00"/>
        <w:spacing w:before="72"/>
        <w:ind w:left="2880" w:right="1134" w:hanging="720"/>
        <w:rPr>
          <w:rStyle w:val="default"/>
          <w:rFonts w:cs="David"/>
          <w:b/>
          <w:bCs/>
          <w:sz w:val="24"/>
          <w:szCs w:val="24"/>
          <w:rtl/>
        </w:rPr>
      </w:pPr>
      <w:r>
        <w:rPr>
          <w:rStyle w:val="default"/>
          <w:rFonts w:cs="David"/>
          <w:b/>
          <w:bCs/>
          <w:sz w:val="24"/>
          <w:szCs w:val="24"/>
          <w:rtl/>
        </w:rPr>
        <w:t>(ב)</w:t>
      </w:r>
      <w:r>
        <w:rPr>
          <w:rStyle w:val="default"/>
          <w:rFonts w:cs="David"/>
          <w:b/>
          <w:bCs/>
          <w:sz w:val="24"/>
          <w:szCs w:val="24"/>
          <w:rtl/>
        </w:rPr>
        <w:tab/>
        <w:t>חוזה הניתן לפירושים שונים, פירוש המקיים אותו עדיף על פירוש שלפיו הוא בטל.</w:t>
      </w:r>
    </w:p>
    <w:p w:rsidR="00D975DD" w:rsidRDefault="00D975DD" w:rsidP="00D975DD">
      <w:pPr>
        <w:pStyle w:val="P00"/>
        <w:spacing w:before="0"/>
        <w:ind w:left="2880" w:right="1134" w:hanging="720"/>
        <w:rPr>
          <w:rStyle w:val="default"/>
          <w:rFonts w:cs="David"/>
          <w:b/>
          <w:bCs/>
          <w:sz w:val="24"/>
          <w:szCs w:val="24"/>
          <w:rtl/>
        </w:rPr>
      </w:pPr>
      <w:r>
        <w:rPr>
          <w:noProof/>
          <w:rtl/>
          <w:lang w:eastAsia="en-US"/>
        </w:rPr>
        <mc:AlternateContent>
          <mc:Choice Requires="wps">
            <w:drawing>
              <wp:anchor distT="0" distB="0" distL="114300" distR="114300" simplePos="0" relativeHeight="251659264" behindDoc="0" locked="1" layoutInCell="0" allowOverlap="1" wp14:anchorId="496CC8F0" wp14:editId="6D657A73">
                <wp:simplePos x="0" y="0"/>
                <wp:positionH relativeFrom="column">
                  <wp:posOffset>5899150</wp:posOffset>
                </wp:positionH>
                <wp:positionV relativeFrom="paragraph">
                  <wp:posOffset>102235</wp:posOffset>
                </wp:positionV>
                <wp:extent cx="953135" cy="298450"/>
                <wp:effectExtent l="0" t="0" r="18415" b="6350"/>
                <wp:wrapNone/>
                <wp:docPr id="6" name="מלבן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135" cy="2984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FF00"/>
                              </a:solidFill>
                              <a:miter lim="800000"/>
                              <a:headEnd/>
                              <a:tailEnd/>
                            </a14:hiddenLine>
                          </a:ext>
                          <a:ext uri="{AF507438-7753-43E0-B8FC-AC1667EBCBE1}">
                            <a14:hiddenEffects xmlns:a14="http://schemas.microsoft.com/office/drawing/2010/main">
                              <a:effectLst/>
                            </a14:hiddenEffects>
                          </a:ext>
                        </a:extLst>
                      </wps:spPr>
                      <wps:txbx>
                        <w:txbxContent>
                          <w:p w:rsidR="00D975DD" w:rsidRDefault="00D975DD" w:rsidP="00D975DD">
                            <w:pPr>
                              <w:spacing w:line="160" w:lineRule="exact"/>
                              <w:rPr>
                                <w:rFonts w:cs="Miriam"/>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6CC8F0" id="מלבן 6" o:spid="_x0000_s1026" style="position:absolute;left:0;text-align:left;margin-left:464.5pt;margin-top:8.05pt;width:75.05pt;height:2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" o:allowincell="f" filled="f" stroked="f" strokecolor="lime" strokeweight=".25pt">
                <v:textbox inset="0,0,0,0">
                  <w:txbxContent>
                    <w:p w:rsidR="00D975DD" w:rsidRDefault="00D975DD" w:rsidP="00D975DD">
                      <w:pPr>
                        <w:spacing w:line="160" w:lineRule="exact"/>
                        <w:rPr>
                          <w:rFonts w:cs="Miriam"/>
                          <w:sz w:val="18"/>
                          <w:szCs w:val="18"/>
                        </w:rPr>
                      </w:pPr>
                    </w:p>
                  </w:txbxContent>
                </v:textbox>
                <w10:anchorlock/>
              </v:rect>
            </w:pict>
          </mc:Fallback>
        </mc:AlternateContent>
      </w:r>
      <w:r>
        <w:rPr>
          <w:rStyle w:val="default"/>
          <w:rFonts w:cs="David"/>
          <w:b/>
          <w:bCs/>
          <w:sz w:val="24"/>
          <w:szCs w:val="24"/>
          <w:rtl/>
        </w:rPr>
        <w:t>(ב1)</w:t>
      </w:r>
      <w:r>
        <w:rPr>
          <w:rStyle w:val="default"/>
          <w:rFonts w:cs="David"/>
          <w:b/>
          <w:bCs/>
          <w:sz w:val="24"/>
          <w:szCs w:val="24"/>
          <w:rtl/>
        </w:rPr>
        <w:tab/>
        <w:t>חוזה הניתן לפירושים שונים והיתה לאחד הצדדים לחוזה עדיפות בעיצוב תנאיו, פירוש נגדו עדיף על פירוש לטובתו.</w:t>
      </w:r>
    </w:p>
    <w:p w:rsidR="00D975DD" w:rsidRDefault="00D975DD" w:rsidP="00D975DD">
      <w:pPr>
        <w:pStyle w:val="P00"/>
        <w:spacing w:before="72"/>
        <w:ind w:left="2880" w:right="1134" w:hanging="720"/>
        <w:rPr>
          <w:rStyle w:val="default"/>
          <w:rFonts w:cs="David"/>
          <w:b/>
          <w:bCs/>
          <w:sz w:val="24"/>
          <w:szCs w:val="24"/>
          <w:rtl/>
        </w:rPr>
      </w:pPr>
      <w:r>
        <w:rPr>
          <w:rStyle w:val="default"/>
          <w:rFonts w:cs="David"/>
          <w:b/>
          <w:bCs/>
          <w:sz w:val="24"/>
          <w:szCs w:val="24"/>
          <w:rtl/>
        </w:rPr>
        <w:t>(ג)</w:t>
      </w:r>
      <w:r>
        <w:rPr>
          <w:rStyle w:val="default"/>
          <w:rFonts w:cs="David"/>
          <w:b/>
          <w:bCs/>
          <w:sz w:val="24"/>
          <w:szCs w:val="24"/>
          <w:rtl/>
        </w:rPr>
        <w:tab/>
        <w:t>ביטויים ותניות בחוזה שנוהגים להשתמש בהם בחוזים מאותו סוג יפורשו לפי המשמעות הנודעת להם באו</w:t>
      </w:r>
    </w:p>
    <w:p w:rsidR="00D975DD" w:rsidRDefault="00D975DD" w:rsidP="00D975DD">
      <w:pPr>
        <w:pStyle w:val="ad"/>
        <w:spacing w:line="360" w:lineRule="auto"/>
        <w:jc w:val="both"/>
        <w:rPr>
          <w:rFonts w:ascii="Arial" w:hAnsi="Arial" w:cstheme="minorBidi"/>
          <w:color w:val="0000FF"/>
          <w:u w:val="single"/>
          <w:rtl/>
        </w:rPr>
      </w:pPr>
    </w:p>
    <w:p w:rsidR="00D975DD" w:rsidRDefault="00D975DD" w:rsidP="00D975DD">
      <w:pPr>
        <w:pStyle w:val="ad"/>
        <w:rPr>
          <w:rFonts w:ascii="David" w:eastAsia="Calibri" w:hAnsi="David"/>
          <w:noProof w:val="0"/>
          <w:rtl/>
        </w:rPr>
      </w:pPr>
    </w:p>
    <w:p w:rsidR="00D975DD" w:rsidRPr="00D975DD" w:rsidRDefault="00D975DD" w:rsidP="00D975DD">
      <w:pPr>
        <w:pStyle w:val="ad"/>
        <w:rPr>
          <w:rFonts w:ascii="David" w:eastAsia="Calibri" w:hAnsi="David"/>
          <w:noProof w:val="0"/>
          <w:rtl/>
        </w:rPr>
      </w:pPr>
    </w:p>
    <w:p w:rsidR="00D63CB3" w:rsidRDefault="00D63CB3" w:rsidP="006876F6">
      <w:pPr>
        <w:pStyle w:val="ad"/>
        <w:numPr>
          <w:ilvl w:val="0"/>
          <w:numId w:val="1"/>
        </w:numPr>
        <w:spacing w:line="360" w:lineRule="auto"/>
        <w:jc w:val="both"/>
        <w:rPr>
          <w:rFonts w:ascii="David" w:eastAsia="Calibri" w:hAnsi="David"/>
          <w:noProof w:val="0"/>
        </w:rPr>
      </w:pPr>
      <w:r w:rsidRPr="00D975DD">
        <w:rPr>
          <w:rFonts w:ascii="David" w:hAnsi="David"/>
          <w:rtl/>
        </w:rPr>
        <w:t>ב</w:t>
      </w:r>
      <w:hyperlink r:id="rId17" w:history="1">
        <w:r w:rsidRPr="00D975DD">
          <w:rPr>
            <w:rStyle w:val="Hyperlink"/>
            <w:rFonts w:ascii="David" w:hAnsi="David"/>
            <w:rtl/>
          </w:rPr>
          <w:t>ע"א 4628/93 מ.י. נ' אפרופים שיכון וייזום בע"מ, פ"ד מט</w:t>
        </w:r>
      </w:hyperlink>
      <w:r w:rsidRPr="00D975DD">
        <w:rPr>
          <w:rFonts w:ascii="David" w:hAnsi="David"/>
          <w:rtl/>
        </w:rPr>
        <w:t xml:space="preserve"> (2) 265 הגדיר ביהמ"ש שיטה פרשנית חד שלבית ולפיה יש לעמוד על אומד דעת הצדדים  באמצעות בחינה מקבילה של </w:t>
      </w:r>
      <w:r w:rsidRPr="00D975DD">
        <w:rPr>
          <w:rFonts w:ascii="David" w:hAnsi="David"/>
          <w:rtl/>
        </w:rPr>
        <w:lastRenderedPageBreak/>
        <w:t>לשון החוזה והנסיבות החיצוניות  לו.  ב</w:t>
      </w:r>
      <w:hyperlink r:id="rId18" w:history="1">
        <w:r w:rsidRPr="00D975DD">
          <w:rPr>
            <w:rStyle w:val="Hyperlink"/>
            <w:rFonts w:ascii="David" w:hAnsi="David"/>
            <w:rtl/>
          </w:rPr>
          <w:t>ע"א 2533/01 ארגון מגדלי ירקות –אגודה חקלאית שיתופית בע"מ נ' מדינת ישראל, פ"ד סא</w:t>
        </w:r>
      </w:hyperlink>
      <w:r w:rsidRPr="00D975DD">
        <w:rPr>
          <w:rFonts w:ascii="David" w:hAnsi="David"/>
          <w:rtl/>
        </w:rPr>
        <w:t xml:space="preserve"> (2) אושרה "הלכת אפרופים", אם כי בית המשפט העליון הבהיר, כי למרות המעבר לשיטה פרשנית חד שלבית, לצורך איתור אומד דעתם הסובייקטיבית של הצדדים לחוזה, נותר ללשון החוזה מקום מרכזי וחשוב בתהליך הפרשנות. </w:t>
      </w:r>
      <w:r w:rsidR="00D975DD">
        <w:rPr>
          <w:rFonts w:ascii="David" w:hAnsi="David" w:hint="cs"/>
          <w:rtl/>
        </w:rPr>
        <w:t xml:space="preserve">  </w:t>
      </w:r>
      <w:r w:rsidRPr="00D975DD">
        <w:rPr>
          <w:rFonts w:ascii="David" w:hAnsi="David"/>
          <w:rtl/>
        </w:rPr>
        <w:t>ב</w:t>
      </w:r>
      <w:hyperlink r:id="rId19" w:history="1">
        <w:r w:rsidRPr="00D975DD">
          <w:rPr>
            <w:rStyle w:val="Hyperlink"/>
            <w:rFonts w:ascii="David" w:hAnsi="David"/>
            <w:rtl/>
          </w:rPr>
          <w:t>רע"א 3961/10</w:t>
        </w:r>
      </w:hyperlink>
      <w:r w:rsidRPr="00D975DD">
        <w:rPr>
          <w:rFonts w:ascii="David" w:hAnsi="David"/>
          <w:rtl/>
        </w:rPr>
        <w:t xml:space="preserve"> </w:t>
      </w:r>
      <w:r w:rsidRPr="00D975DD">
        <w:rPr>
          <w:rFonts w:ascii="David" w:hAnsi="David" w:hint="cs"/>
          <w:b/>
          <w:bCs/>
          <w:rtl/>
        </w:rPr>
        <w:t xml:space="preserve">המוסד לביטוח לאומי נ' סהר חברה לתביעות בע"מ </w:t>
      </w:r>
      <w:r w:rsidRPr="00D975DD">
        <w:rPr>
          <w:rFonts w:ascii="David" w:hAnsi="David"/>
          <w:sz w:val="22"/>
          <w:rtl/>
        </w:rPr>
        <w:t xml:space="preserve">[פורסם בנבו] </w:t>
      </w:r>
      <w:r w:rsidRPr="00D975DD">
        <w:rPr>
          <w:rFonts w:ascii="David" w:hAnsi="David"/>
          <w:rtl/>
        </w:rPr>
        <w:t>(מיום 26.2.12) נאמרו על ידי כבוד השופט ריבלין, הדברים הבאים:</w:t>
      </w:r>
    </w:p>
    <w:p w:rsidR="00D975DD" w:rsidRDefault="00D975DD" w:rsidP="00D975DD">
      <w:pPr>
        <w:pStyle w:val="ad"/>
        <w:spacing w:line="360" w:lineRule="auto"/>
        <w:jc w:val="both"/>
        <w:rPr>
          <w:rFonts w:ascii="David" w:eastAsia="Calibri" w:hAnsi="David"/>
          <w:noProof w:val="0"/>
          <w:rtl/>
        </w:rPr>
      </w:pPr>
    </w:p>
    <w:p w:rsidR="00D975DD" w:rsidRDefault="00D975DD" w:rsidP="00D975DD">
      <w:pPr>
        <w:pStyle w:val="ad"/>
        <w:spacing w:line="360" w:lineRule="auto"/>
        <w:ind w:left="1701" w:right="1134"/>
        <w:jc w:val="both"/>
        <w:rPr>
          <w:rFonts w:ascii="David" w:hAnsi="David"/>
          <w:b/>
          <w:bCs/>
          <w:rtl/>
        </w:rPr>
      </w:pPr>
      <w:r>
        <w:rPr>
          <w:rFonts w:ascii="David" w:hAnsi="David"/>
          <w:b/>
          <w:bCs/>
          <w:rtl/>
        </w:rPr>
        <w:t>"... חוזה יפורש תוך בחינה מקבילה ומשותפת של לשון החוזה ושל נסיבות העניין, בכפוף לחזקה פרשנית – ניתנת לסתירה – שלפיה פרשנות החוזה היא זו התואמת את פשט הלשון, דהיינו: את המשמעות הפשוטה, הרגילה והטבעית של הכתוב. החזקה ניתנת לסתירה במקרים שבהם למד בית המשפט, מתוך הנסיבות, כי הלשון אינה פשוטה וברורה כפי שנחזתה להיות במבט ראשון; וכי למעשה – עשויה היא להתפרש בדרכים אחרות מאלה שנראו ברורות בתחילת הדרך הפרשנית. ודוקו: קיומה של החזקה מבטא את משקלה החשוב והמשמעותי של לשון החוזה; לעומת זאת, היותה ניתנת לסתירה משקפת את העובדה כי משקלה של הלשון, חרף חשיבותה, אינו מכריע או בלעדי."</w:t>
      </w:r>
    </w:p>
    <w:p w:rsidR="00D975DD" w:rsidRDefault="00D975DD" w:rsidP="00D975DD">
      <w:pPr>
        <w:pStyle w:val="ad"/>
        <w:spacing w:line="360" w:lineRule="auto"/>
        <w:jc w:val="both"/>
        <w:rPr>
          <w:rFonts w:ascii="David" w:eastAsia="Calibri" w:hAnsi="David"/>
          <w:noProof w:val="0"/>
        </w:rPr>
      </w:pPr>
    </w:p>
    <w:p w:rsidR="00D63CB3" w:rsidRDefault="00D63CB3" w:rsidP="006876F6">
      <w:pPr>
        <w:pStyle w:val="ad"/>
        <w:numPr>
          <w:ilvl w:val="0"/>
          <w:numId w:val="1"/>
        </w:numPr>
        <w:spacing w:line="360" w:lineRule="auto"/>
        <w:jc w:val="both"/>
        <w:rPr>
          <w:rFonts w:ascii="David" w:eastAsia="Calibri" w:hAnsi="David"/>
          <w:noProof w:val="0"/>
        </w:rPr>
      </w:pPr>
      <w:r w:rsidRPr="00D975DD">
        <w:rPr>
          <w:rFonts w:ascii="David" w:hAnsi="David"/>
          <w:b/>
          <w:bCs/>
          <w:rtl/>
        </w:rPr>
        <w:t>ב</w:t>
      </w:r>
      <w:hyperlink r:id="rId20" w:history="1">
        <w:r w:rsidRPr="00D975DD">
          <w:rPr>
            <w:rStyle w:val="Hyperlink"/>
            <w:rFonts w:ascii="David" w:hAnsi="David"/>
            <w:b/>
            <w:bCs/>
            <w:rtl/>
          </w:rPr>
          <w:t>ע"א 3894/11</w:t>
        </w:r>
      </w:hyperlink>
      <w:r w:rsidRPr="00D975DD">
        <w:rPr>
          <w:rFonts w:ascii="David" w:hAnsi="David"/>
          <w:b/>
          <w:bCs/>
          <w:rtl/>
        </w:rPr>
        <w:t xml:space="preserve"> דלק בע"מ נ' ניר בן שלום</w:t>
      </w:r>
      <w:r w:rsidRPr="00D975DD">
        <w:rPr>
          <w:rFonts w:ascii="David" w:hAnsi="David"/>
          <w:rtl/>
        </w:rPr>
        <w:t xml:space="preserve"> </w:t>
      </w:r>
      <w:r w:rsidRPr="00D975DD">
        <w:rPr>
          <w:rFonts w:ascii="David" w:hAnsi="David"/>
          <w:sz w:val="22"/>
          <w:rtl/>
        </w:rPr>
        <w:t xml:space="preserve">[פורסם בנבו] </w:t>
      </w:r>
      <w:r w:rsidRPr="00D975DD">
        <w:rPr>
          <w:rFonts w:ascii="David" w:hAnsi="David"/>
          <w:rtl/>
        </w:rPr>
        <w:t>(מיום 6.6.13) קובע כב' השופט ג'ובראן:</w:t>
      </w:r>
    </w:p>
    <w:p w:rsidR="00D975DD" w:rsidRDefault="00D975DD" w:rsidP="00D975DD">
      <w:pPr>
        <w:pStyle w:val="ad"/>
        <w:spacing w:line="360" w:lineRule="auto"/>
        <w:jc w:val="both"/>
        <w:rPr>
          <w:rFonts w:ascii="David" w:hAnsi="David"/>
          <w:b/>
          <w:bCs/>
          <w:rtl/>
        </w:rPr>
      </w:pPr>
    </w:p>
    <w:p w:rsidR="00D975DD" w:rsidRDefault="00D975DD" w:rsidP="00D975DD">
      <w:pPr>
        <w:pStyle w:val="ad"/>
        <w:spacing w:line="360" w:lineRule="auto"/>
        <w:ind w:left="1701" w:right="1134"/>
        <w:jc w:val="both"/>
        <w:rPr>
          <w:rFonts w:ascii="David" w:hAnsi="David"/>
          <w:b/>
          <w:bCs/>
          <w:rtl/>
        </w:rPr>
      </w:pPr>
      <w:r>
        <w:rPr>
          <w:rFonts w:ascii="David" w:hAnsi="David"/>
          <w:b/>
          <w:bCs/>
          <w:rtl/>
        </w:rPr>
        <w:t>"כאמור, בפרשת סהר נקבעה ההלכה, שעל פיה התיקון לחוק עיגן ב</w:t>
      </w:r>
      <w:hyperlink r:id="rId21" w:history="1">
        <w:r>
          <w:rPr>
            <w:rStyle w:val="Hyperlink"/>
            <w:rFonts w:ascii="David" w:hAnsi="David"/>
            <w:b/>
            <w:bCs/>
            <w:rtl/>
          </w:rPr>
          <w:t>חוק החוזים</w:t>
        </w:r>
      </w:hyperlink>
      <w:r>
        <w:rPr>
          <w:rFonts w:ascii="David" w:hAnsi="David"/>
          <w:b/>
          <w:bCs/>
          <w:rtl/>
        </w:rPr>
        <w:t xml:space="preserve"> את כללי הפרשנות שפותחו בפסיקה. זאת, משלושה טעמים:  ראשית, נקבע כי זוהי התכלית הסובייקטיבית של החקיקה, כפי שעולה מדברי ההסבר לתיקון החוק ומהליכי החקיקה עצמם. </w:t>
      </w:r>
    </w:p>
    <w:p w:rsidR="00D975DD" w:rsidRDefault="00D975DD" w:rsidP="00D975DD">
      <w:pPr>
        <w:pStyle w:val="ad"/>
        <w:spacing w:line="360" w:lineRule="auto"/>
        <w:ind w:left="1701" w:right="1134"/>
        <w:jc w:val="both"/>
        <w:rPr>
          <w:rFonts w:ascii="David" w:hAnsi="David"/>
          <w:b/>
          <w:bCs/>
          <w:rtl/>
        </w:rPr>
      </w:pPr>
      <w:r>
        <w:rPr>
          <w:rFonts w:ascii="David" w:hAnsi="David"/>
          <w:b/>
          <w:bCs/>
          <w:rtl/>
        </w:rPr>
        <w:t>שנית, נקבע כי זוהי הפרשנות המתחייבת מלשון הסעיף עצמו, וכי פרשנות המאמצת את מודל שני השלבים תעקר מתוכן את קביעתו של המחוקק, שעל פיה החוזה יפורש הן על פי לשון החוזה והן מנסיבות העניין, ורק מקום בו אומר דעת הצדדים משתמע מפורשות מלשון החוזה, תינתן הבכורה ללשון. .....</w:t>
      </w:r>
    </w:p>
    <w:p w:rsidR="00D975DD" w:rsidRDefault="00D975DD" w:rsidP="00D975DD">
      <w:pPr>
        <w:spacing w:line="360" w:lineRule="auto"/>
        <w:ind w:left="1701" w:right="1134"/>
        <w:jc w:val="both"/>
        <w:rPr>
          <w:rFonts w:ascii="David" w:hAnsi="David"/>
          <w:b/>
          <w:bCs/>
          <w:rtl/>
        </w:rPr>
      </w:pPr>
      <w:r>
        <w:rPr>
          <w:rFonts w:ascii="David" w:hAnsi="David"/>
          <w:b/>
          <w:bCs/>
          <w:rtl/>
        </w:rPr>
        <w:t xml:space="preserve">שלישית, נקבע כי כללי פרשנות החוזה האמורים משקפים גם את פרשנות תכליתית-אובייקטיבית של </w:t>
      </w:r>
      <w:hyperlink r:id="rId22" w:history="1">
        <w:r>
          <w:rPr>
            <w:rStyle w:val="Hyperlink"/>
            <w:rFonts w:ascii="David" w:hAnsi="David"/>
            <w:b/>
            <w:bCs/>
            <w:rtl/>
          </w:rPr>
          <w:t>חוק החוזים</w:t>
        </w:r>
      </w:hyperlink>
      <w:r>
        <w:rPr>
          <w:rFonts w:ascii="David" w:hAnsi="David"/>
          <w:b/>
          <w:bCs/>
          <w:rtl/>
        </w:rPr>
        <w:t xml:space="preserve">. בהקשר זה </w:t>
      </w:r>
      <w:r>
        <w:rPr>
          <w:rFonts w:ascii="David" w:hAnsi="David"/>
          <w:b/>
          <w:bCs/>
          <w:rtl/>
        </w:rPr>
        <w:lastRenderedPageBreak/>
        <w:t>נקבע כי בבסיס החקיקה עומדים שני ערכים אותם ביקש המחוקק לקדם – רצון הצדדים לחוזה וודאות משפטית. וברי, כי שני הערכים אינם עולים בהכרח בקנה אחד. הערך של קידוש רצון הצדדים לחוזה דורש העמקה בנסיבות החוזה, בכדי לבחון את הרצון הסובייקטיבי שלהם. ערך הודאות המשפטית דורש מתן משקל מוגבר ללשון החוזה, ככל שהיא ברורה, ומאפשרת ללמד אודות ההסכמה הסבירה ביניהם."</w:t>
      </w:r>
    </w:p>
    <w:p w:rsidR="00D975DD" w:rsidRDefault="00D975DD" w:rsidP="00D975DD">
      <w:pPr>
        <w:pStyle w:val="ad"/>
        <w:spacing w:line="360" w:lineRule="auto"/>
        <w:jc w:val="both"/>
        <w:rPr>
          <w:rFonts w:ascii="David" w:eastAsia="Calibri" w:hAnsi="David"/>
          <w:noProof w:val="0"/>
          <w:rtl/>
        </w:rPr>
      </w:pPr>
    </w:p>
    <w:p w:rsidR="00D975DD" w:rsidRDefault="00D975DD" w:rsidP="00D975DD">
      <w:pPr>
        <w:pStyle w:val="ad"/>
        <w:spacing w:line="360" w:lineRule="auto"/>
        <w:jc w:val="both"/>
        <w:rPr>
          <w:rFonts w:ascii="David" w:eastAsia="Calibri" w:hAnsi="David"/>
          <w:noProof w:val="0"/>
        </w:rPr>
      </w:pPr>
    </w:p>
    <w:p w:rsidR="00D63CB3" w:rsidRDefault="00D63CB3" w:rsidP="006876F6">
      <w:pPr>
        <w:pStyle w:val="ad"/>
        <w:numPr>
          <w:ilvl w:val="0"/>
          <w:numId w:val="1"/>
        </w:numPr>
        <w:spacing w:line="360" w:lineRule="auto"/>
        <w:jc w:val="both"/>
        <w:rPr>
          <w:rFonts w:ascii="David" w:eastAsia="Calibri" w:hAnsi="David"/>
          <w:noProof w:val="0"/>
        </w:rPr>
      </w:pPr>
      <w:r w:rsidRPr="00D975DD">
        <w:rPr>
          <w:rFonts w:ascii="David" w:hAnsi="David"/>
          <w:rtl/>
        </w:rPr>
        <w:t>מהאמור לעיל עולה כי יש להתחקות אחר התכלית הסובייקטיבית באמצעות לשון החוזה ונסיבותיו, אך זאת תוך הדגשת מקומה המשמעותי של לשון החוזה בתהליך הפרשנות.  יש להעניק להסכם את המשמעות הפשוטה והברורה העולה מלשונו. ככל שלשון ההסכם ברורה חזקה</w:t>
      </w:r>
      <w:r w:rsidR="00D975DD">
        <w:rPr>
          <w:rFonts w:ascii="David" w:hAnsi="David"/>
          <w:rtl/>
        </w:rPr>
        <w:t xml:space="preserve"> עליה שמשקפת את אומד דעת הצדדים</w:t>
      </w:r>
      <w:r w:rsidR="00D975DD">
        <w:rPr>
          <w:rFonts w:ascii="David" w:hAnsi="David" w:hint="cs"/>
          <w:rtl/>
        </w:rPr>
        <w:t>.</w:t>
      </w:r>
    </w:p>
    <w:p w:rsidR="00D975DD" w:rsidRPr="00D975DD" w:rsidRDefault="00D975DD" w:rsidP="00D975DD">
      <w:pPr>
        <w:pStyle w:val="ad"/>
        <w:spacing w:line="360" w:lineRule="auto"/>
        <w:jc w:val="both"/>
        <w:rPr>
          <w:rFonts w:ascii="David" w:eastAsia="Calibri" w:hAnsi="David"/>
          <w:noProof w:val="0"/>
        </w:rPr>
      </w:pPr>
    </w:p>
    <w:p w:rsidR="00D975DD" w:rsidRDefault="00D975DD" w:rsidP="006876F6">
      <w:pPr>
        <w:pStyle w:val="ad"/>
        <w:numPr>
          <w:ilvl w:val="0"/>
          <w:numId w:val="1"/>
        </w:numPr>
        <w:spacing w:line="360" w:lineRule="auto"/>
        <w:jc w:val="both"/>
        <w:rPr>
          <w:rFonts w:ascii="David" w:eastAsia="Calibri" w:hAnsi="David"/>
          <w:noProof w:val="0"/>
        </w:rPr>
      </w:pPr>
      <w:r>
        <w:rPr>
          <w:rFonts w:ascii="David" w:eastAsia="Calibri" w:hAnsi="David" w:hint="cs"/>
          <w:noProof w:val="0"/>
          <w:rtl/>
        </w:rPr>
        <w:t>במקרה זה, לשונו של ההסכם ברורה ופשוטה.  כאמור לעיל, הסעיף הרלוונטי לענייננו הנו סעיף 32 הכולל מספר רכיבים:</w:t>
      </w:r>
    </w:p>
    <w:p w:rsidR="00D975DD" w:rsidRDefault="00D975DD" w:rsidP="00D975DD">
      <w:pPr>
        <w:pStyle w:val="ad"/>
        <w:rPr>
          <w:rFonts w:ascii="David" w:eastAsia="Calibri" w:hAnsi="David"/>
          <w:noProof w:val="0"/>
          <w:rtl/>
        </w:rPr>
      </w:pPr>
    </w:p>
    <w:p w:rsidR="00D975DD" w:rsidRDefault="00D975DD" w:rsidP="00D975DD">
      <w:pPr>
        <w:pStyle w:val="ad"/>
        <w:numPr>
          <w:ilvl w:val="0"/>
          <w:numId w:val="11"/>
        </w:numPr>
        <w:rPr>
          <w:rFonts w:ascii="David" w:eastAsia="Calibri" w:hAnsi="David"/>
          <w:noProof w:val="0"/>
        </w:rPr>
      </w:pPr>
      <w:r>
        <w:rPr>
          <w:rFonts w:ascii="David" w:eastAsia="Calibri" w:hAnsi="David" w:hint="cs"/>
          <w:noProof w:val="0"/>
          <w:rtl/>
        </w:rPr>
        <w:t>מתן היתר לאם להעתיק את מקום מגורי הקטינים לישראל;</w:t>
      </w:r>
    </w:p>
    <w:p w:rsidR="00D975DD" w:rsidRDefault="00D975DD" w:rsidP="00D975DD">
      <w:pPr>
        <w:pStyle w:val="ad"/>
        <w:ind w:left="1080"/>
        <w:rPr>
          <w:rFonts w:ascii="David" w:eastAsia="Calibri" w:hAnsi="David"/>
          <w:noProof w:val="0"/>
        </w:rPr>
      </w:pPr>
    </w:p>
    <w:p w:rsidR="00D975DD" w:rsidRDefault="00D975DD" w:rsidP="00D975DD">
      <w:pPr>
        <w:pStyle w:val="ad"/>
        <w:numPr>
          <w:ilvl w:val="0"/>
          <w:numId w:val="11"/>
        </w:numPr>
        <w:rPr>
          <w:rFonts w:ascii="David" w:eastAsia="Calibri" w:hAnsi="David"/>
          <w:noProof w:val="0"/>
        </w:rPr>
      </w:pPr>
      <w:r>
        <w:rPr>
          <w:rFonts w:ascii="David" w:eastAsia="Calibri" w:hAnsi="David" w:hint="cs"/>
          <w:noProof w:val="0"/>
          <w:rtl/>
        </w:rPr>
        <w:t>מתן הודעה מוקדמת בכתב של 90 יום לפחות על הכוונה לעשות כן;</w:t>
      </w:r>
    </w:p>
    <w:p w:rsidR="00D975DD" w:rsidRPr="00D975DD" w:rsidRDefault="00D975DD" w:rsidP="00D975DD">
      <w:pPr>
        <w:pStyle w:val="ad"/>
        <w:rPr>
          <w:rFonts w:ascii="David" w:eastAsia="Calibri" w:hAnsi="David"/>
          <w:noProof w:val="0"/>
          <w:rtl/>
        </w:rPr>
      </w:pPr>
    </w:p>
    <w:p w:rsidR="00D975DD" w:rsidRDefault="00D975DD" w:rsidP="00D975DD">
      <w:pPr>
        <w:pStyle w:val="ad"/>
        <w:ind w:left="1080"/>
        <w:rPr>
          <w:rFonts w:ascii="David" w:eastAsia="Calibri" w:hAnsi="David"/>
          <w:noProof w:val="0"/>
          <w:rtl/>
        </w:rPr>
      </w:pPr>
    </w:p>
    <w:p w:rsidR="00D975DD" w:rsidRPr="00D975DD" w:rsidRDefault="00D975DD" w:rsidP="00D975DD">
      <w:pPr>
        <w:pStyle w:val="ad"/>
        <w:rPr>
          <w:rFonts w:ascii="David" w:eastAsia="Calibri" w:hAnsi="David"/>
          <w:noProof w:val="0"/>
          <w:rtl/>
        </w:rPr>
      </w:pPr>
    </w:p>
    <w:p w:rsidR="00D975DD" w:rsidRPr="00FF3380" w:rsidRDefault="00D975DD" w:rsidP="00E419D7">
      <w:pPr>
        <w:pStyle w:val="ad"/>
        <w:numPr>
          <w:ilvl w:val="0"/>
          <w:numId w:val="1"/>
        </w:numPr>
        <w:spacing w:line="360" w:lineRule="auto"/>
        <w:jc w:val="both"/>
        <w:rPr>
          <w:rFonts w:ascii="David" w:eastAsia="Calibri" w:hAnsi="David"/>
          <w:noProof w:val="0"/>
          <w:rtl/>
        </w:rPr>
      </w:pPr>
      <w:r>
        <w:rPr>
          <w:rFonts w:ascii="David" w:eastAsia="Calibri" w:hAnsi="David" w:hint="cs"/>
          <w:noProof w:val="0"/>
          <w:rtl/>
        </w:rPr>
        <w:t xml:space="preserve"> אין חולק כי הנתבעת מילאה אחר הוראות רכיב ההודעה המוקדמת</w:t>
      </w:r>
      <w:r w:rsidR="002566C2">
        <w:rPr>
          <w:rFonts w:ascii="David" w:eastAsia="Calibri" w:hAnsi="David" w:hint="cs"/>
          <w:noProof w:val="0"/>
          <w:rtl/>
        </w:rPr>
        <w:t xml:space="preserve">. </w:t>
      </w:r>
      <w:r w:rsidRPr="00130FF8">
        <w:rPr>
          <w:rFonts w:ascii="David" w:eastAsia="Calibri" w:hAnsi="David" w:hint="cs"/>
          <w:b/>
          <w:bCs/>
          <w:noProof w:val="0"/>
          <w:rtl/>
        </w:rPr>
        <w:t xml:space="preserve">השאלה היחידה הנה </w:t>
      </w:r>
      <w:r w:rsidR="002566C2" w:rsidRPr="00130FF8">
        <w:rPr>
          <w:rFonts w:ascii="David" w:eastAsia="Calibri" w:hAnsi="David" w:hint="cs"/>
          <w:b/>
          <w:bCs/>
          <w:noProof w:val="0"/>
          <w:rtl/>
        </w:rPr>
        <w:t>האם כוונת הצדדים היתה כי בכל מקרה י</w:t>
      </w:r>
      <w:r w:rsidR="00F76E5E" w:rsidRPr="00130FF8">
        <w:rPr>
          <w:rFonts w:ascii="David" w:eastAsia="Calibri" w:hAnsi="David" w:hint="cs"/>
          <w:b/>
          <w:bCs/>
          <w:noProof w:val="0"/>
          <w:rtl/>
        </w:rPr>
        <w:t>י</w:t>
      </w:r>
      <w:r w:rsidR="002566C2" w:rsidRPr="00130FF8">
        <w:rPr>
          <w:rFonts w:ascii="David" w:eastAsia="Calibri" w:hAnsi="David" w:hint="cs"/>
          <w:b/>
          <w:bCs/>
          <w:noProof w:val="0"/>
          <w:rtl/>
        </w:rPr>
        <w:t xml:space="preserve">נתן היתר </w:t>
      </w:r>
      <w:r w:rsidR="009A449E" w:rsidRPr="00130FF8">
        <w:rPr>
          <w:rFonts w:ascii="David" w:eastAsia="Calibri" w:hAnsi="David" w:hint="cs"/>
          <w:b/>
          <w:bCs/>
          <w:noProof w:val="0"/>
          <w:rtl/>
        </w:rPr>
        <w:t xml:space="preserve">העתקת מקום המגורים, </w:t>
      </w:r>
      <w:r w:rsidR="002566C2" w:rsidRPr="00130FF8">
        <w:rPr>
          <w:rFonts w:ascii="David" w:eastAsia="Calibri" w:hAnsi="David" w:hint="cs"/>
          <w:b/>
          <w:bCs/>
          <w:noProof w:val="0"/>
          <w:rtl/>
        </w:rPr>
        <w:t>רק במקרה ו</w:t>
      </w:r>
      <w:r w:rsidR="002566C2" w:rsidRPr="004C0D0A">
        <w:rPr>
          <w:rFonts w:ascii="David" w:eastAsia="Calibri" w:hAnsi="David" w:hint="cs"/>
          <w:b/>
          <w:bCs/>
          <w:noProof w:val="0"/>
          <w:u w:val="single"/>
          <w:rtl/>
        </w:rPr>
        <w:t>שלושת</w:t>
      </w:r>
      <w:r w:rsidR="002566C2" w:rsidRPr="00130FF8">
        <w:rPr>
          <w:rFonts w:ascii="David" w:eastAsia="Calibri" w:hAnsi="David" w:hint="cs"/>
          <w:b/>
          <w:bCs/>
          <w:noProof w:val="0"/>
          <w:rtl/>
        </w:rPr>
        <w:t xml:space="preserve"> הילדים</w:t>
      </w:r>
      <w:r w:rsidR="00F76E5E" w:rsidRPr="00130FF8">
        <w:rPr>
          <w:rFonts w:ascii="David" w:eastAsia="Calibri" w:hAnsi="David" w:hint="cs"/>
          <w:b/>
          <w:bCs/>
          <w:noProof w:val="0"/>
          <w:rtl/>
        </w:rPr>
        <w:t>, כולם יחד</w:t>
      </w:r>
      <w:r w:rsidR="0088725B">
        <w:rPr>
          <w:rFonts w:ascii="David" w:eastAsia="Calibri" w:hAnsi="David" w:hint="cs"/>
          <w:b/>
          <w:bCs/>
          <w:noProof w:val="0"/>
          <w:rtl/>
        </w:rPr>
        <w:t>,</w:t>
      </w:r>
      <w:r w:rsidR="00F76E5E" w:rsidRPr="00130FF8">
        <w:rPr>
          <w:rFonts w:ascii="David" w:eastAsia="Calibri" w:hAnsi="David" w:hint="cs"/>
          <w:b/>
          <w:bCs/>
          <w:noProof w:val="0"/>
          <w:rtl/>
        </w:rPr>
        <w:t xml:space="preserve"> </w:t>
      </w:r>
      <w:r w:rsidR="002566C2" w:rsidRPr="00130FF8">
        <w:rPr>
          <w:rFonts w:ascii="David" w:eastAsia="Calibri" w:hAnsi="David" w:hint="cs"/>
          <w:b/>
          <w:bCs/>
          <w:noProof w:val="0"/>
          <w:rtl/>
        </w:rPr>
        <w:t>יהיו עם האם.</w:t>
      </w:r>
      <w:r w:rsidR="002566C2">
        <w:rPr>
          <w:rFonts w:ascii="David" w:eastAsia="Calibri" w:hAnsi="David" w:hint="cs"/>
          <w:noProof w:val="0"/>
          <w:rtl/>
        </w:rPr>
        <w:t xml:space="preserve">   </w:t>
      </w:r>
      <w:r w:rsidR="00F76E5E">
        <w:rPr>
          <w:rFonts w:ascii="David" w:eastAsia="Calibri" w:hAnsi="David" w:hint="cs"/>
          <w:noProof w:val="0"/>
          <w:rtl/>
        </w:rPr>
        <w:t xml:space="preserve">אכן, המצב בו </w:t>
      </w:r>
      <w:r w:rsidR="00FF3380">
        <w:rPr>
          <w:rFonts w:ascii="David" w:eastAsia="Calibri" w:hAnsi="David" w:hint="cs"/>
          <w:noProof w:val="0"/>
          <w:rtl/>
        </w:rPr>
        <w:t>אחד הילדים נותר בחו"ל מטריד מאוד ואינו רגיל</w:t>
      </w:r>
      <w:r w:rsidR="00015A15">
        <w:rPr>
          <w:rFonts w:ascii="David" w:eastAsia="Calibri" w:hAnsi="David" w:hint="cs"/>
          <w:noProof w:val="0"/>
          <w:rtl/>
        </w:rPr>
        <w:t>, אך לא ניתן לומר כי הוא בלתי אפשרי</w:t>
      </w:r>
      <w:r w:rsidR="00FF3380">
        <w:rPr>
          <w:rFonts w:ascii="David" w:eastAsia="Calibri" w:hAnsi="David" w:hint="cs"/>
          <w:noProof w:val="0"/>
          <w:rtl/>
        </w:rPr>
        <w:t xml:space="preserve">. </w:t>
      </w:r>
      <w:r w:rsidR="00015A15">
        <w:rPr>
          <w:rFonts w:ascii="David" w:eastAsia="Calibri" w:hAnsi="David" w:hint="cs"/>
          <w:noProof w:val="0"/>
          <w:rtl/>
        </w:rPr>
        <w:t xml:space="preserve">  </w:t>
      </w:r>
      <w:r w:rsidR="0088725B">
        <w:rPr>
          <w:rFonts w:ascii="David" w:eastAsia="Calibri" w:hAnsi="David" w:hint="cs"/>
          <w:noProof w:val="0"/>
          <w:rtl/>
        </w:rPr>
        <w:t xml:space="preserve">ניתן להניח </w:t>
      </w:r>
      <w:r w:rsidR="00130FF8">
        <w:rPr>
          <w:rFonts w:ascii="David" w:eastAsia="Calibri" w:hAnsi="David" w:hint="cs"/>
          <w:noProof w:val="0"/>
          <w:rtl/>
        </w:rPr>
        <w:t xml:space="preserve">כי </w:t>
      </w:r>
      <w:r w:rsidR="00FF3380">
        <w:rPr>
          <w:rFonts w:ascii="David" w:eastAsia="Calibri" w:hAnsi="David" w:hint="cs"/>
          <w:noProof w:val="0"/>
          <w:rtl/>
        </w:rPr>
        <w:t>בעת ש</w:t>
      </w:r>
      <w:r w:rsidR="00130FF8">
        <w:rPr>
          <w:rFonts w:ascii="David" w:eastAsia="Calibri" w:hAnsi="David" w:hint="cs"/>
          <w:noProof w:val="0"/>
          <w:rtl/>
        </w:rPr>
        <w:t xml:space="preserve">ערכו </w:t>
      </w:r>
      <w:r w:rsidR="00FF3380">
        <w:rPr>
          <w:rFonts w:ascii="David" w:eastAsia="Calibri" w:hAnsi="David" w:hint="cs"/>
          <w:noProof w:val="0"/>
          <w:rtl/>
        </w:rPr>
        <w:t xml:space="preserve">הצדדים </w:t>
      </w:r>
      <w:r w:rsidR="00130FF8">
        <w:rPr>
          <w:rFonts w:ascii="David" w:eastAsia="Calibri" w:hAnsi="David" w:hint="cs"/>
          <w:noProof w:val="0"/>
          <w:rtl/>
        </w:rPr>
        <w:t xml:space="preserve">את </w:t>
      </w:r>
      <w:r w:rsidR="00FF3380">
        <w:rPr>
          <w:rFonts w:ascii="David" w:eastAsia="Calibri" w:hAnsi="David" w:hint="cs"/>
          <w:noProof w:val="0"/>
          <w:rtl/>
        </w:rPr>
        <w:t>ההסכם</w:t>
      </w:r>
      <w:r w:rsidR="00130FF8">
        <w:rPr>
          <w:rFonts w:ascii="David" w:eastAsia="Calibri" w:hAnsi="David" w:hint="cs"/>
          <w:noProof w:val="0"/>
          <w:rtl/>
        </w:rPr>
        <w:t xml:space="preserve"> וניסחו את הוראותיו, </w:t>
      </w:r>
      <w:r w:rsidR="00FF3380">
        <w:rPr>
          <w:rFonts w:ascii="David" w:eastAsia="Calibri" w:hAnsi="David" w:hint="cs"/>
          <w:noProof w:val="0"/>
          <w:rtl/>
        </w:rPr>
        <w:t>לא צפו מצב כפי שהתפתח ואירע בפועל</w:t>
      </w:r>
      <w:r w:rsidR="0088725B">
        <w:rPr>
          <w:rFonts w:ascii="David" w:eastAsia="Calibri" w:hAnsi="David" w:hint="cs"/>
          <w:noProof w:val="0"/>
          <w:rtl/>
        </w:rPr>
        <w:t xml:space="preserve">, וכי </w:t>
      </w:r>
      <w:r w:rsidR="00FF3380">
        <w:rPr>
          <w:rFonts w:ascii="David" w:eastAsia="Calibri" w:hAnsi="David" w:hint="cs"/>
          <w:noProof w:val="0"/>
          <w:rtl/>
        </w:rPr>
        <w:t>כוונתם</w:t>
      </w:r>
      <w:r w:rsidR="00130FF8">
        <w:rPr>
          <w:rFonts w:ascii="David" w:eastAsia="Calibri" w:hAnsi="David" w:hint="cs"/>
          <w:noProof w:val="0"/>
          <w:rtl/>
        </w:rPr>
        <w:t>,</w:t>
      </w:r>
      <w:r w:rsidR="00FF3380">
        <w:rPr>
          <w:rFonts w:ascii="David" w:eastAsia="Calibri" w:hAnsi="David" w:hint="cs"/>
          <w:noProof w:val="0"/>
          <w:rtl/>
        </w:rPr>
        <w:t xml:space="preserve"> הטבעית</w:t>
      </w:r>
      <w:r w:rsidR="0088725B">
        <w:rPr>
          <w:rFonts w:ascii="David" w:eastAsia="Calibri" w:hAnsi="David" w:hint="cs"/>
          <w:noProof w:val="0"/>
          <w:rtl/>
        </w:rPr>
        <w:t xml:space="preserve"> של שני ההורים,  </w:t>
      </w:r>
      <w:r w:rsidR="00FF3380">
        <w:rPr>
          <w:rFonts w:ascii="David" w:eastAsia="Calibri" w:hAnsi="David" w:hint="cs"/>
          <w:noProof w:val="0"/>
          <w:rtl/>
        </w:rPr>
        <w:t xml:space="preserve">היתה </w:t>
      </w:r>
      <w:r w:rsidR="00130FF8">
        <w:rPr>
          <w:rFonts w:ascii="David" w:eastAsia="Calibri" w:hAnsi="David" w:hint="cs"/>
          <w:noProof w:val="0"/>
          <w:rtl/>
        </w:rPr>
        <w:t xml:space="preserve">[ועודנה], </w:t>
      </w:r>
      <w:r w:rsidR="00FF3380">
        <w:rPr>
          <w:rFonts w:ascii="David" w:eastAsia="Calibri" w:hAnsi="David" w:hint="cs"/>
          <w:noProof w:val="0"/>
          <w:rtl/>
        </w:rPr>
        <w:t>כי שלושת הילדים יישאר</w:t>
      </w:r>
      <w:r w:rsidR="00FF3380">
        <w:rPr>
          <w:rFonts w:ascii="David" w:eastAsia="Calibri" w:hAnsi="David" w:hint="eastAsia"/>
          <w:noProof w:val="0"/>
          <w:rtl/>
        </w:rPr>
        <w:t>ו</w:t>
      </w:r>
      <w:r w:rsidR="00FF3380">
        <w:rPr>
          <w:rFonts w:ascii="David" w:eastAsia="Calibri" w:hAnsi="David" w:hint="cs"/>
          <w:noProof w:val="0"/>
          <w:rtl/>
        </w:rPr>
        <w:t xml:space="preserve"> יחד</w:t>
      </w:r>
      <w:r w:rsidR="00130FF8">
        <w:rPr>
          <w:rFonts w:ascii="David" w:eastAsia="Calibri" w:hAnsi="David" w:hint="cs"/>
          <w:noProof w:val="0"/>
          <w:rtl/>
        </w:rPr>
        <w:t xml:space="preserve"> ולא יופרדו זה מזה</w:t>
      </w:r>
      <w:r w:rsidR="00FF3380">
        <w:rPr>
          <w:rFonts w:ascii="David" w:eastAsia="Calibri" w:hAnsi="David" w:hint="cs"/>
          <w:noProof w:val="0"/>
          <w:rtl/>
        </w:rPr>
        <w:t xml:space="preserve">.   </w:t>
      </w:r>
      <w:r w:rsidR="00E02044">
        <w:rPr>
          <w:rFonts w:ascii="David" w:eastAsia="Calibri" w:hAnsi="David" w:hint="cs"/>
          <w:noProof w:val="0"/>
          <w:rtl/>
        </w:rPr>
        <w:t xml:space="preserve">כך גם עולה מחקירת הנתבעת [עמ' 46 ש' 1], </w:t>
      </w:r>
      <w:r w:rsidR="00015A15">
        <w:rPr>
          <w:rFonts w:ascii="David" w:eastAsia="Calibri" w:hAnsi="David" w:hint="cs"/>
          <w:noProof w:val="0"/>
          <w:rtl/>
        </w:rPr>
        <w:t xml:space="preserve">אשר טוענת כי </w:t>
      </w:r>
      <w:r w:rsidR="00E02044">
        <w:rPr>
          <w:rFonts w:ascii="David" w:eastAsia="Calibri" w:hAnsi="David" w:hint="cs"/>
          <w:noProof w:val="0"/>
          <w:rtl/>
        </w:rPr>
        <w:t xml:space="preserve">מצב </w:t>
      </w:r>
      <w:r w:rsidR="00015A15">
        <w:rPr>
          <w:rFonts w:ascii="David" w:eastAsia="Calibri" w:hAnsi="David" w:hint="cs"/>
          <w:noProof w:val="0"/>
          <w:rtl/>
        </w:rPr>
        <w:t xml:space="preserve">זה </w:t>
      </w:r>
      <w:r w:rsidR="00E02044">
        <w:rPr>
          <w:rFonts w:ascii="David" w:eastAsia="Calibri" w:hAnsi="David" w:hint="cs"/>
          <w:noProof w:val="0"/>
          <w:rtl/>
        </w:rPr>
        <w:t xml:space="preserve">נוצר </w:t>
      </w:r>
      <w:r w:rsidR="00015A15">
        <w:rPr>
          <w:rFonts w:ascii="David" w:eastAsia="Calibri" w:hAnsi="David" w:hint="cs"/>
          <w:noProof w:val="0"/>
          <w:rtl/>
        </w:rPr>
        <w:t xml:space="preserve">עקב </w:t>
      </w:r>
      <w:r w:rsidR="00E02044">
        <w:rPr>
          <w:rFonts w:ascii="David" w:eastAsia="Calibri" w:hAnsi="David" w:hint="cs"/>
          <w:noProof w:val="0"/>
          <w:rtl/>
        </w:rPr>
        <w:t>השפעתו של התובע על א</w:t>
      </w:r>
      <w:r w:rsidR="00E419D7">
        <w:rPr>
          <w:rFonts w:ascii="David" w:eastAsia="Calibri" w:hAnsi="David" w:hint="cs"/>
          <w:noProof w:val="0"/>
          <w:rtl/>
        </w:rPr>
        <w:t>.ל'</w:t>
      </w:r>
      <w:r w:rsidR="00E02044">
        <w:rPr>
          <w:rFonts w:ascii="David" w:eastAsia="Calibri" w:hAnsi="David" w:hint="cs"/>
          <w:noProof w:val="0"/>
          <w:rtl/>
        </w:rPr>
        <w:t xml:space="preserve">.  </w:t>
      </w:r>
      <w:r w:rsidR="00FF3380" w:rsidRPr="00FF3380">
        <w:rPr>
          <w:rFonts w:ascii="David" w:eastAsia="Calibri" w:hAnsi="David" w:hint="cs"/>
          <w:noProof w:val="0"/>
          <w:rtl/>
        </w:rPr>
        <w:t>אינני סבור כי יש מקום לייחס</w:t>
      </w:r>
      <w:r w:rsidR="00FF3380">
        <w:rPr>
          <w:rFonts w:ascii="David" w:eastAsia="Calibri" w:hAnsi="David" w:hint="cs"/>
          <w:noProof w:val="0"/>
          <w:rtl/>
        </w:rPr>
        <w:t xml:space="preserve"> את המצב שנוצר לחובתה של הנתבעת בלבד. התובע אינו מסביר מדוע לא פעל, בהתאם להוראות ההסכם, ומדוע לא וידא כי גם הקטין א</w:t>
      </w:r>
      <w:r w:rsidR="00E419D7">
        <w:rPr>
          <w:rFonts w:ascii="David" w:eastAsia="Calibri" w:hAnsi="David" w:hint="cs"/>
          <w:noProof w:val="0"/>
          <w:rtl/>
        </w:rPr>
        <w:t>.</w:t>
      </w:r>
      <w:r w:rsidR="00FF3380">
        <w:rPr>
          <w:rFonts w:ascii="David" w:eastAsia="Calibri" w:hAnsi="David" w:hint="cs"/>
          <w:noProof w:val="0"/>
          <w:rtl/>
        </w:rPr>
        <w:t>ל</w:t>
      </w:r>
      <w:r w:rsidR="00E419D7">
        <w:rPr>
          <w:rFonts w:ascii="David" w:eastAsia="Calibri" w:hAnsi="David" w:hint="cs"/>
          <w:noProof w:val="0"/>
          <w:rtl/>
        </w:rPr>
        <w:t>'</w:t>
      </w:r>
      <w:r w:rsidR="00FF3380">
        <w:rPr>
          <w:rFonts w:ascii="David" w:eastAsia="Calibri" w:hAnsi="David" w:hint="cs"/>
          <w:noProof w:val="0"/>
          <w:rtl/>
        </w:rPr>
        <w:t xml:space="preserve"> יצטרף לשני אחיו.  גם אם לא ניתן היה לעשות כן באותו מועד, הרי שלא היתה כל מניעה ממשית מצדו להגיע עם </w:t>
      </w:r>
      <w:r w:rsidR="00E419D7" w:rsidRPr="00E419D7">
        <w:rPr>
          <w:rFonts w:ascii="David" w:eastAsia="Calibri" w:hAnsi="David"/>
          <w:noProof w:val="0"/>
          <w:rtl/>
        </w:rPr>
        <w:t xml:space="preserve">א.ל' </w:t>
      </w:r>
      <w:r w:rsidR="006E20E5">
        <w:rPr>
          <w:rFonts w:ascii="David" w:eastAsia="Calibri" w:hAnsi="David" w:hint="cs"/>
          <w:noProof w:val="0"/>
          <w:rtl/>
        </w:rPr>
        <w:t>לישראל, ולנהל את ההל</w:t>
      </w:r>
      <w:r w:rsidR="00130FF8">
        <w:rPr>
          <w:rFonts w:ascii="David" w:eastAsia="Calibri" w:hAnsi="David" w:hint="cs"/>
          <w:noProof w:val="0"/>
          <w:rtl/>
        </w:rPr>
        <w:t>י</w:t>
      </w:r>
      <w:r w:rsidR="006E20E5">
        <w:rPr>
          <w:rFonts w:ascii="David" w:eastAsia="Calibri" w:hAnsi="David" w:hint="cs"/>
          <w:noProof w:val="0"/>
          <w:rtl/>
        </w:rPr>
        <w:t xml:space="preserve">ך כאן, כאשר שלושת הילדים מאוחדים.  גם כאן, מקובלת עלי המסקנה אליה הגיעה השופטת האוסטרלית, אשר קבעה [ס' 76], כי </w:t>
      </w:r>
      <w:r w:rsidR="00130FF8">
        <w:rPr>
          <w:rFonts w:ascii="David" w:eastAsia="Calibri" w:hAnsi="David" w:hint="cs"/>
          <w:noProof w:val="0"/>
          <w:rtl/>
        </w:rPr>
        <w:t>לשני הצדדים יד בהפרדת האחים.</w:t>
      </w:r>
    </w:p>
    <w:p w:rsidR="00D63CB3" w:rsidRDefault="00130FF8" w:rsidP="006876F6">
      <w:pPr>
        <w:pStyle w:val="ad"/>
        <w:numPr>
          <w:ilvl w:val="0"/>
          <w:numId w:val="1"/>
        </w:numPr>
        <w:spacing w:line="360" w:lineRule="auto"/>
        <w:jc w:val="both"/>
        <w:rPr>
          <w:rFonts w:ascii="Arial" w:hAnsi="Arial"/>
          <w:noProof w:val="0"/>
        </w:rPr>
      </w:pPr>
      <w:r w:rsidRPr="00130FF8">
        <w:rPr>
          <w:rFonts w:ascii="Arial" w:hAnsi="Arial" w:hint="cs"/>
          <w:b/>
          <w:bCs/>
          <w:noProof w:val="0"/>
          <w:u w:val="single"/>
          <w:rtl/>
        </w:rPr>
        <w:lastRenderedPageBreak/>
        <w:t>הפרדת בין אחים בראי הוראות אמנת האג</w:t>
      </w:r>
      <w:r>
        <w:rPr>
          <w:rFonts w:ascii="Arial" w:hAnsi="Arial" w:hint="cs"/>
          <w:noProof w:val="0"/>
          <w:rtl/>
        </w:rPr>
        <w:t xml:space="preserve"> - </w:t>
      </w:r>
      <w:r w:rsidR="00F313E3">
        <w:rPr>
          <w:rFonts w:ascii="Arial" w:hAnsi="Arial" w:hint="cs"/>
          <w:noProof w:val="0"/>
          <w:rtl/>
        </w:rPr>
        <w:t xml:space="preserve">הסוגיה בה עקב נסיעת אחד ההורים מתקיימת בפועל הפרדה בין אחים, נדונה בהרחבה ע"י כבוד השופט ג'ובראן ז"ל, בעניין בע"מ 2338/09  [פורסם במאגרים], שם נאמרו הדברים הבאים:  </w:t>
      </w:r>
    </w:p>
    <w:p w:rsidR="00F313E3" w:rsidRDefault="00F313E3" w:rsidP="00F313E3">
      <w:pPr>
        <w:pStyle w:val="Ruller40"/>
        <w:rPr>
          <w:rFonts w:ascii="Arial" w:hAnsi="Arial" w:cs="David"/>
          <w:spacing w:val="0"/>
          <w:sz w:val="24"/>
          <w:szCs w:val="24"/>
          <w:rtl/>
        </w:rPr>
      </w:pPr>
    </w:p>
    <w:p w:rsidR="00F313E3" w:rsidRPr="00F313E3" w:rsidRDefault="00F313E3" w:rsidP="00F313E3">
      <w:pPr>
        <w:pStyle w:val="Ruller40"/>
        <w:ind w:left="1701" w:right="1134"/>
        <w:rPr>
          <w:b/>
          <w:bCs/>
          <w:rtl/>
        </w:rPr>
      </w:pPr>
      <w:r>
        <w:rPr>
          <w:rFonts w:hint="cs"/>
          <w:b/>
          <w:bCs/>
          <w:rtl/>
        </w:rPr>
        <w:t>"</w:t>
      </w:r>
      <w:r w:rsidRPr="00F313E3">
        <w:rPr>
          <w:rFonts w:hint="cs"/>
          <w:b/>
          <w:bCs/>
          <w:rtl/>
        </w:rPr>
        <w:t>אין לקבוע כלל שכל אימת שקיים חשש כי יופרדו שני אחים זה מזה, או ילד מאחד מהוריו, לא יוכל בית המשפט להפעיל את סמכותו להחזרת הילד למקום מגוריו על פי אמנת האג, שהרי כלל שכזה יאיין לחלוטין את אחת מתכליות האמנה, והיא שההורה החוטף לא יצא נשכר ממעשיו. אמנם, מוכן אני לקבל את הטענה שבמקרים יוצאי דופן תוכל תוצאה זו להביא לידי כך כי בית המשפט יימנע מלהחזיר קטין למקום מגוריו. אך המקרה שלפנינו, מכל מקום, אינו נופל בגדר אותם מקרים חריגים. אף אם ייגרם לשני האחים נזק מהפרדתם, דבר שלא הוכח בפני עצמו, לא נראה שנזק זה גדול הוא מהנזק הנגרם לקטין 1 כתוצאה מהפרדתו מאביו ומסביבת מגוריו. על אותו משקל, אין לומר כי הפרדת הקטין 1 מאימו, אשר פעלה שלא כדין, חמורה היא מהפרדתו העכשווית מאביו. בהתחשב בזאת, וכן כאשר לוקחים בחשבון את תכליותיה הנוספות של אמנת האג, עליהם עמדתי קודם לכן, מאזן השיקולים העומד בבסיס האמנה מוביל למסקנה כי על הקטין 1 לחזור למקום מגוריו, עם או בלי אחיו.</w:t>
      </w:r>
      <w:r>
        <w:rPr>
          <w:rFonts w:hint="cs"/>
          <w:b/>
          <w:bCs/>
          <w:rtl/>
        </w:rPr>
        <w:t>"</w:t>
      </w:r>
    </w:p>
    <w:p w:rsidR="00F313E3" w:rsidRDefault="00F313E3" w:rsidP="00F313E3">
      <w:pPr>
        <w:pStyle w:val="Ruller40"/>
        <w:tabs>
          <w:tab w:val="left" w:pos="720"/>
        </w:tabs>
        <w:rPr>
          <w:rtl/>
        </w:rPr>
      </w:pPr>
      <w:r>
        <w:rPr>
          <w:rtl/>
        </w:rPr>
        <w:tab/>
      </w:r>
    </w:p>
    <w:p w:rsidR="00F313E3" w:rsidRDefault="00F313E3" w:rsidP="00F313E3">
      <w:pPr>
        <w:pStyle w:val="Ruller40"/>
        <w:tabs>
          <w:tab w:val="left" w:pos="720"/>
        </w:tabs>
        <w:rPr>
          <w:rtl/>
        </w:rPr>
      </w:pPr>
      <w:r>
        <w:rPr>
          <w:rFonts w:hint="cs"/>
          <w:rtl/>
        </w:rPr>
        <w:t xml:space="preserve"> </w:t>
      </w:r>
      <w:r>
        <w:rPr>
          <w:rtl/>
        </w:rPr>
        <w:tab/>
      </w:r>
      <w:r>
        <w:rPr>
          <w:rFonts w:hint="cs"/>
          <w:rtl/>
        </w:rPr>
        <w:t>ועוד נקבע באותו עניין כי:</w:t>
      </w:r>
    </w:p>
    <w:p w:rsidR="00F313E3" w:rsidRDefault="00F313E3" w:rsidP="00F313E3">
      <w:pPr>
        <w:pStyle w:val="Ruller40"/>
        <w:tabs>
          <w:tab w:val="left" w:pos="720"/>
        </w:tabs>
        <w:rPr>
          <w:rtl/>
        </w:rPr>
      </w:pPr>
    </w:p>
    <w:p w:rsidR="00F313E3" w:rsidRPr="00F313E3" w:rsidRDefault="00F313E3" w:rsidP="00F313E3">
      <w:pPr>
        <w:pStyle w:val="Ruller40"/>
        <w:tabs>
          <w:tab w:val="left" w:pos="720"/>
        </w:tabs>
        <w:ind w:left="1701" w:right="1134"/>
        <w:rPr>
          <w:b/>
          <w:bCs/>
          <w:rtl/>
        </w:rPr>
      </w:pPr>
      <w:r>
        <w:rPr>
          <w:rFonts w:hint="cs"/>
          <w:b/>
          <w:bCs/>
          <w:rtl/>
        </w:rPr>
        <w:t>"</w:t>
      </w:r>
      <w:r w:rsidRPr="00F313E3">
        <w:rPr>
          <w:rFonts w:hint="cs"/>
          <w:b/>
          <w:bCs/>
          <w:rtl/>
        </w:rPr>
        <w:t>קביעת משמורת משותפת על האחים למען לא ייפרדו, ראוי לה שתישקל בכובד ראש לפני בית המשפט הדן במשמורת ההורים על ילדיהם, ועל המבקשת להעלות טיעוניה לעניין זה לפני בית המשפט המוסמך לכך בצרפת.</w:t>
      </w:r>
      <w:r>
        <w:rPr>
          <w:rFonts w:hint="cs"/>
          <w:b/>
          <w:bCs/>
          <w:rtl/>
        </w:rPr>
        <w:t>"</w:t>
      </w:r>
    </w:p>
    <w:p w:rsidR="00F313E3" w:rsidRDefault="00F313E3" w:rsidP="00653F26">
      <w:pPr>
        <w:pStyle w:val="ad"/>
        <w:spacing w:line="360" w:lineRule="auto"/>
        <w:jc w:val="both"/>
        <w:rPr>
          <w:rFonts w:ascii="Arial" w:hAnsi="Arial"/>
          <w:noProof w:val="0"/>
        </w:rPr>
      </w:pPr>
    </w:p>
    <w:p w:rsidR="00F313E3" w:rsidRDefault="00F313E3" w:rsidP="00BF35F4">
      <w:pPr>
        <w:pStyle w:val="ad"/>
        <w:numPr>
          <w:ilvl w:val="0"/>
          <w:numId w:val="1"/>
        </w:numPr>
        <w:spacing w:line="360" w:lineRule="auto"/>
        <w:jc w:val="both"/>
        <w:rPr>
          <w:rFonts w:ascii="Arial" w:hAnsi="Arial"/>
          <w:noProof w:val="0"/>
        </w:rPr>
      </w:pPr>
      <w:r>
        <w:rPr>
          <w:rFonts w:ascii="Arial" w:hAnsi="Arial" w:hint="cs"/>
          <w:noProof w:val="0"/>
          <w:rtl/>
        </w:rPr>
        <w:t>כאמור לעיל, במקרה דנן, המצב שנוצר אכן מטריד, ואינו פשוט.  יחד עם זאת, לנוכח המסקנה כי הנתבעת פעלה ב</w:t>
      </w:r>
      <w:r w:rsidR="0088725B">
        <w:rPr>
          <w:rFonts w:ascii="Arial" w:hAnsi="Arial" w:hint="cs"/>
          <w:noProof w:val="0"/>
          <w:rtl/>
        </w:rPr>
        <w:t>התאם להוראות ההסכם והדין, התובע,</w:t>
      </w:r>
      <w:r>
        <w:rPr>
          <w:rFonts w:ascii="Arial" w:hAnsi="Arial" w:hint="cs"/>
          <w:noProof w:val="0"/>
          <w:rtl/>
        </w:rPr>
        <w:t xml:space="preserve"> הוא עצמו זה אשר גורם למצב קשה זה,  ובמקום להגיע עם הקטין לישראל על מנת שיתאחד עם שני אחיו, ממשיך ואוחז בו כבן ערובה, ובכך גורם, באופן ישיר למצב הקשה שנוצר.  מכל מקום, אינני סבור כי יש מקום להורות על השבתם של הקטינים לאוסטרליה, לנוכח המצב בו מופרדים הם מאחיהם, וכולי תקווה כי לאחר שינתן פסק דין זה, יתעשת התובע ויאפשר הגעתו של הקטין </w:t>
      </w:r>
      <w:r w:rsidR="00BF35F4" w:rsidRPr="00BF35F4">
        <w:rPr>
          <w:rFonts w:ascii="Arial" w:hAnsi="Arial"/>
          <w:noProof w:val="0"/>
          <w:rtl/>
        </w:rPr>
        <w:t xml:space="preserve">א.ל' </w:t>
      </w:r>
      <w:r>
        <w:rPr>
          <w:rFonts w:ascii="Arial" w:hAnsi="Arial" w:hint="cs"/>
          <w:noProof w:val="0"/>
          <w:rtl/>
        </w:rPr>
        <w:t>לישראל.</w:t>
      </w:r>
      <w:r w:rsidR="00130FF8">
        <w:rPr>
          <w:rFonts w:ascii="Arial" w:hAnsi="Arial" w:hint="cs"/>
          <w:noProof w:val="0"/>
          <w:rtl/>
        </w:rPr>
        <w:t xml:space="preserve">  </w:t>
      </w:r>
    </w:p>
    <w:p w:rsidR="00F313E3" w:rsidRPr="00BF35F4" w:rsidRDefault="00F313E3" w:rsidP="00F313E3">
      <w:pPr>
        <w:pStyle w:val="ad"/>
        <w:spacing w:line="360" w:lineRule="auto"/>
        <w:jc w:val="both"/>
        <w:rPr>
          <w:rFonts w:ascii="Arial" w:hAnsi="Arial"/>
          <w:noProof w:val="0"/>
        </w:rPr>
      </w:pPr>
    </w:p>
    <w:p w:rsidR="00F82201" w:rsidRDefault="00D63CB3" w:rsidP="00BF35F4">
      <w:pPr>
        <w:pStyle w:val="ad"/>
        <w:numPr>
          <w:ilvl w:val="0"/>
          <w:numId w:val="1"/>
        </w:numPr>
        <w:spacing w:line="360" w:lineRule="auto"/>
        <w:jc w:val="both"/>
        <w:rPr>
          <w:rFonts w:ascii="Arial" w:hAnsi="Arial"/>
          <w:noProof w:val="0"/>
        </w:rPr>
      </w:pPr>
      <w:r>
        <w:rPr>
          <w:rFonts w:ascii="Arial" w:hAnsi="Arial" w:hint="cs"/>
          <w:b/>
          <w:bCs/>
          <w:noProof w:val="0"/>
          <w:u w:val="single"/>
          <w:rtl/>
        </w:rPr>
        <w:t xml:space="preserve">ממצאי ומסקנות </w:t>
      </w:r>
      <w:r w:rsidR="007C0FC5" w:rsidRPr="00D63CB3">
        <w:rPr>
          <w:rFonts w:ascii="Arial" w:hAnsi="Arial" w:hint="cs"/>
          <w:b/>
          <w:bCs/>
          <w:noProof w:val="0"/>
          <w:u w:val="single"/>
          <w:rtl/>
        </w:rPr>
        <w:t>פסק הדין האוסטרלי</w:t>
      </w:r>
      <w:r w:rsidR="007C0FC5">
        <w:rPr>
          <w:rFonts w:ascii="Arial" w:hAnsi="Arial" w:hint="cs"/>
          <w:noProof w:val="0"/>
          <w:rtl/>
        </w:rPr>
        <w:t xml:space="preserve"> </w:t>
      </w:r>
      <w:r w:rsidR="007C0FC5">
        <w:rPr>
          <w:rFonts w:ascii="Arial" w:hAnsi="Arial"/>
          <w:noProof w:val="0"/>
          <w:rtl/>
        </w:rPr>
        <w:t>–</w:t>
      </w:r>
      <w:r w:rsidR="007C0FC5">
        <w:rPr>
          <w:rFonts w:ascii="Arial" w:hAnsi="Arial" w:hint="cs"/>
          <w:noProof w:val="0"/>
          <w:rtl/>
        </w:rPr>
        <w:t xml:space="preserve"> אמנם מדובר בפסק דין שניתן במדינה זרה וע"פ דין שונה, ואולם, דומני כי לאחר עיון מעמיק בקביעות ובממצאים, אין לי אלה להצטרף למרבית הקביעות והממצאים.  כך לגבי הקביעה </w:t>
      </w:r>
      <w:r w:rsidR="00F82201">
        <w:rPr>
          <w:rFonts w:ascii="Arial" w:hAnsi="Arial" w:hint="cs"/>
          <w:noProof w:val="0"/>
          <w:rtl/>
        </w:rPr>
        <w:t xml:space="preserve">לפיה הנתבעת </w:t>
      </w:r>
      <w:r w:rsidR="007C0FC5">
        <w:rPr>
          <w:rFonts w:ascii="Arial" w:hAnsi="Arial" w:hint="cs"/>
          <w:noProof w:val="0"/>
          <w:rtl/>
        </w:rPr>
        <w:t xml:space="preserve">פעלה בהתאם להוראות ההסכם, </w:t>
      </w:r>
      <w:r w:rsidR="00F82201">
        <w:rPr>
          <w:rFonts w:ascii="Arial" w:hAnsi="Arial" w:hint="cs"/>
          <w:noProof w:val="0"/>
          <w:rtl/>
        </w:rPr>
        <w:t xml:space="preserve">והתובע הוא זה אשר למעשה מחזיק בקטין </w:t>
      </w:r>
      <w:r w:rsidR="00BF35F4" w:rsidRPr="00BF35F4">
        <w:rPr>
          <w:rFonts w:ascii="Arial" w:hAnsi="Arial"/>
          <w:noProof w:val="0"/>
          <w:rtl/>
        </w:rPr>
        <w:t xml:space="preserve">א.ל' </w:t>
      </w:r>
      <w:r w:rsidR="00F82201">
        <w:rPr>
          <w:rFonts w:ascii="Arial" w:hAnsi="Arial" w:hint="cs"/>
          <w:noProof w:val="0"/>
          <w:rtl/>
        </w:rPr>
        <w:t xml:space="preserve">ומונע ממנו להגיע לישראל.  בכל הנוגע לבן </w:t>
      </w:r>
      <w:r w:rsidR="00BF35F4" w:rsidRPr="00BF35F4">
        <w:rPr>
          <w:rFonts w:ascii="Arial" w:hAnsi="Arial"/>
          <w:noProof w:val="0"/>
          <w:rtl/>
        </w:rPr>
        <w:t>א.ל'</w:t>
      </w:r>
      <w:r w:rsidR="00F82201">
        <w:rPr>
          <w:rFonts w:ascii="Arial" w:hAnsi="Arial" w:hint="cs"/>
          <w:noProof w:val="0"/>
          <w:rtl/>
        </w:rPr>
        <w:t>, מאחר וההליכים לגביו טרם הסתיימו, יש מקום לטעמי להמתין עד לסיום ההליכים לגביו ולהכרעה האם יקבע כי הוא נשאר באוסטרליה או מגיע לישראל ומצטרף לאמו ולשני אחיו.</w:t>
      </w:r>
    </w:p>
    <w:p w:rsidR="007C0FC5" w:rsidRPr="007C0FC5" w:rsidRDefault="007C0FC5" w:rsidP="007C0FC5">
      <w:pPr>
        <w:pStyle w:val="ad"/>
        <w:rPr>
          <w:rFonts w:ascii="Arial" w:hAnsi="Arial"/>
          <w:noProof w:val="0"/>
          <w:rtl/>
        </w:rPr>
      </w:pPr>
    </w:p>
    <w:p w:rsidR="007C0FC5" w:rsidRPr="00E85B90" w:rsidRDefault="007C0FC5" w:rsidP="007C0FC5">
      <w:pPr>
        <w:pStyle w:val="ad"/>
        <w:spacing w:line="360" w:lineRule="auto"/>
        <w:jc w:val="both"/>
        <w:rPr>
          <w:rFonts w:ascii="Arial" w:hAnsi="Arial"/>
          <w:noProof w:val="0"/>
        </w:rPr>
      </w:pPr>
    </w:p>
    <w:p w:rsidR="0088725B" w:rsidRDefault="0088725B" w:rsidP="00BF35F4">
      <w:pPr>
        <w:pStyle w:val="ad"/>
        <w:numPr>
          <w:ilvl w:val="0"/>
          <w:numId w:val="1"/>
        </w:numPr>
        <w:spacing w:line="360" w:lineRule="auto"/>
        <w:jc w:val="both"/>
        <w:rPr>
          <w:rFonts w:ascii="Arial" w:hAnsi="Arial"/>
          <w:noProof w:val="0"/>
        </w:rPr>
      </w:pPr>
      <w:r w:rsidRPr="0035323C">
        <w:rPr>
          <w:rFonts w:ascii="Arial" w:hAnsi="Arial" w:hint="cs"/>
          <w:b/>
          <w:bCs/>
          <w:noProof w:val="0"/>
          <w:u w:val="single"/>
          <w:rtl/>
        </w:rPr>
        <w:t>חקירות הצדדים</w:t>
      </w:r>
      <w:r>
        <w:rPr>
          <w:rFonts w:ascii="Arial" w:hAnsi="Arial" w:hint="cs"/>
          <w:noProof w:val="0"/>
          <w:rtl/>
        </w:rPr>
        <w:t xml:space="preserve"> </w:t>
      </w:r>
      <w:r>
        <w:rPr>
          <w:rFonts w:ascii="Arial" w:hAnsi="Arial"/>
          <w:noProof w:val="0"/>
          <w:rtl/>
        </w:rPr>
        <w:t>–</w:t>
      </w:r>
      <w:r>
        <w:rPr>
          <w:rFonts w:ascii="Arial" w:hAnsi="Arial" w:hint="cs"/>
          <w:noProof w:val="0"/>
          <w:rtl/>
        </w:rPr>
        <w:t xml:space="preserve"> למסקנה דלעיל, אני מגיע גם לנוכח דברי הצדדים בחקירתם. </w:t>
      </w:r>
      <w:r w:rsidRPr="006A3A31">
        <w:rPr>
          <w:rFonts w:ascii="Arial" w:hAnsi="Arial" w:hint="cs"/>
          <w:b/>
          <w:bCs/>
          <w:noProof w:val="0"/>
          <w:u w:val="single"/>
          <w:rtl/>
        </w:rPr>
        <w:t>התובע</w:t>
      </w:r>
      <w:r>
        <w:rPr>
          <w:rFonts w:ascii="Arial" w:hAnsi="Arial" w:hint="cs"/>
          <w:noProof w:val="0"/>
          <w:rtl/>
        </w:rPr>
        <w:t xml:space="preserve"> נשאל מדובר לא הגיע עם </w:t>
      </w:r>
      <w:r w:rsidR="00BF35F4" w:rsidRPr="00BF35F4">
        <w:rPr>
          <w:rFonts w:ascii="Arial" w:hAnsi="Arial"/>
          <w:noProof w:val="0"/>
          <w:rtl/>
        </w:rPr>
        <w:t xml:space="preserve">א.ל' </w:t>
      </w:r>
      <w:r>
        <w:rPr>
          <w:rFonts w:ascii="Arial" w:hAnsi="Arial" w:hint="cs"/>
          <w:noProof w:val="0"/>
          <w:rtl/>
        </w:rPr>
        <w:t>לישראל ותשובתו אינה מספקת [עמ' 3 ש' 4]</w:t>
      </w:r>
      <w:r w:rsidR="00036BBB">
        <w:rPr>
          <w:rFonts w:ascii="Arial" w:hAnsi="Arial" w:hint="cs"/>
          <w:noProof w:val="0"/>
          <w:rtl/>
        </w:rPr>
        <w:t xml:space="preserve">.   התובע נשאל מה דעתו על הסכם הגירושין, ולדבריו הוא אינו תקף [עמ' 5 ש' 29].  עמדה בעייתית זו מלמדת כי התובע אינו מוכן לקבל את המצב המשפטי הקיים, והוא סבור כי באפשרותו לפעול כרצונו תוך עשיית דין עצמי. </w:t>
      </w:r>
      <w:r w:rsidR="002650D2">
        <w:rPr>
          <w:rFonts w:ascii="Arial" w:hAnsi="Arial" w:hint="cs"/>
          <w:noProof w:val="0"/>
          <w:rtl/>
        </w:rPr>
        <w:t xml:space="preserve"> התובע אישר כי לאחר שקיבל </w:t>
      </w:r>
      <w:r w:rsidR="00BF0339">
        <w:rPr>
          <w:rFonts w:ascii="Arial" w:hAnsi="Arial" w:hint="cs"/>
          <w:noProof w:val="0"/>
          <w:rtl/>
        </w:rPr>
        <w:t xml:space="preserve">את המייל מהנתבעת ב 4/10, אליו צורפו כרטיסי הטיסה, דיבר על הילדים ואמר להם כי הוא אינו רוצה שהם יטוסו עם הנתבעת לישראל [עמ' 15 ש' 29].  כלומר, התובע היה מודע היטב לכוונתה של הנתבעת, ואף ניסה לגרום לילדים לסרבנות, כפי שאף אירע בפועל עם </w:t>
      </w:r>
      <w:r w:rsidR="00BF35F4" w:rsidRPr="00BF35F4">
        <w:rPr>
          <w:rFonts w:ascii="Arial" w:hAnsi="Arial"/>
          <w:noProof w:val="0"/>
          <w:rtl/>
        </w:rPr>
        <w:t>א.ל'</w:t>
      </w:r>
      <w:r w:rsidR="00BF0339">
        <w:rPr>
          <w:rFonts w:ascii="Arial" w:hAnsi="Arial" w:hint="cs"/>
          <w:noProof w:val="0"/>
          <w:rtl/>
        </w:rPr>
        <w:t>. התובע מאשר כי בשיחות עמם פ</w:t>
      </w:r>
      <w:r w:rsidR="00BF35F4">
        <w:rPr>
          <w:rFonts w:ascii="Arial" w:hAnsi="Arial" w:hint="cs"/>
          <w:noProof w:val="0"/>
          <w:rtl/>
        </w:rPr>
        <w:t>'</w:t>
      </w:r>
      <w:r w:rsidR="00BF0339">
        <w:rPr>
          <w:rFonts w:ascii="Arial" w:hAnsi="Arial" w:hint="cs"/>
          <w:noProof w:val="0"/>
          <w:rtl/>
        </w:rPr>
        <w:t xml:space="preserve"> וא</w:t>
      </w:r>
      <w:r w:rsidR="00BF35F4">
        <w:rPr>
          <w:rFonts w:ascii="Arial" w:hAnsi="Arial" w:hint="cs"/>
          <w:noProof w:val="0"/>
          <w:rtl/>
        </w:rPr>
        <w:t xml:space="preserve">' </w:t>
      </w:r>
      <w:r w:rsidR="00BF0339">
        <w:rPr>
          <w:rFonts w:ascii="Arial" w:hAnsi="Arial" w:hint="cs"/>
          <w:noProof w:val="0"/>
          <w:rtl/>
        </w:rPr>
        <w:t>מביעים את רצונם להשאר בישראל [עמ' 17 ש' 17].</w:t>
      </w:r>
      <w:r w:rsidR="00EF1809">
        <w:rPr>
          <w:rFonts w:ascii="Arial" w:hAnsi="Arial" w:hint="cs"/>
          <w:noProof w:val="0"/>
          <w:rtl/>
        </w:rPr>
        <w:t xml:space="preserve">  </w:t>
      </w:r>
      <w:r w:rsidR="00EF1809" w:rsidRPr="006A3A31">
        <w:rPr>
          <w:rFonts w:ascii="Arial" w:hAnsi="Arial" w:hint="cs"/>
          <w:b/>
          <w:bCs/>
          <w:noProof w:val="0"/>
          <w:u w:val="single"/>
          <w:rtl/>
        </w:rPr>
        <w:t xml:space="preserve">הנתבעת </w:t>
      </w:r>
      <w:r w:rsidR="00EF1809">
        <w:rPr>
          <w:rFonts w:ascii="Arial" w:hAnsi="Arial" w:hint="cs"/>
          <w:noProof w:val="0"/>
          <w:rtl/>
        </w:rPr>
        <w:t xml:space="preserve">נשאלה בחקירתה לגבי עמדתו של התובע להודעתה בשנת 2022 על רצונה לעבור לישראל, ולדבריה, היא לא קיבלה כל תביעה וגם לא ידעה כי הוגשה תביעה כאמור לבית המשפט [עמ' 24 ש' 34]. </w:t>
      </w:r>
      <w:r w:rsidR="00BF0339">
        <w:rPr>
          <w:rFonts w:ascii="Arial" w:hAnsi="Arial" w:hint="cs"/>
          <w:noProof w:val="0"/>
          <w:rtl/>
        </w:rPr>
        <w:t xml:space="preserve"> </w:t>
      </w:r>
      <w:r w:rsidR="007652F2">
        <w:rPr>
          <w:rFonts w:ascii="Arial" w:hAnsi="Arial" w:hint="cs"/>
          <w:noProof w:val="0"/>
          <w:rtl/>
        </w:rPr>
        <w:t>הנתבעת חזרת ונשאלה ארוכות אודות הליכי הגישור וכן מגעים שהיו בין הצדדים טרם הנסיעה וכן לאחר מתן הודעה בשנת 2022, ולדבריה, הצדדים אכן היו בהליך גישור, ואולם, אין מדובר בהליך משפטי או מחייב [עמ' 36 ש' 33].</w:t>
      </w:r>
      <w:r w:rsidR="00185FC7">
        <w:rPr>
          <w:rFonts w:ascii="Arial" w:hAnsi="Arial" w:hint="cs"/>
          <w:noProof w:val="0"/>
          <w:rtl/>
        </w:rPr>
        <w:t xml:space="preserve"> </w:t>
      </w:r>
      <w:r w:rsidR="0067549B">
        <w:rPr>
          <w:rFonts w:ascii="Arial" w:hAnsi="Arial" w:hint="cs"/>
          <w:noProof w:val="0"/>
          <w:rtl/>
        </w:rPr>
        <w:t xml:space="preserve">לדברי הנתבעת, הילדים היו מודעים לכל המו"מ בין הצדדים, ולכן </w:t>
      </w:r>
      <w:r w:rsidR="00873C5D">
        <w:rPr>
          <w:rFonts w:ascii="Arial" w:hAnsi="Arial" w:hint="cs"/>
          <w:noProof w:val="0"/>
          <w:rtl/>
        </w:rPr>
        <w:t>א.ל</w:t>
      </w:r>
      <w:r w:rsidR="00873C5D">
        <w:rPr>
          <w:rFonts w:ascii="Arial" w:hAnsi="Arial"/>
          <w:noProof w:val="0"/>
          <w:rtl/>
        </w:rPr>
        <w:t>'</w:t>
      </w:r>
      <w:r w:rsidR="0067549B">
        <w:rPr>
          <w:rFonts w:ascii="Arial" w:hAnsi="Arial" w:hint="cs"/>
          <w:noProof w:val="0"/>
          <w:rtl/>
        </w:rPr>
        <w:t xml:space="preserve"> ברח [עמ' 41 ש' 22]. </w:t>
      </w:r>
      <w:r w:rsidR="00E02044">
        <w:rPr>
          <w:rFonts w:ascii="Arial" w:hAnsi="Arial" w:hint="cs"/>
          <w:noProof w:val="0"/>
          <w:rtl/>
        </w:rPr>
        <w:t xml:space="preserve"> </w:t>
      </w:r>
      <w:r w:rsidR="007652F2">
        <w:rPr>
          <w:rFonts w:ascii="Arial" w:hAnsi="Arial" w:hint="cs"/>
          <w:noProof w:val="0"/>
          <w:rtl/>
        </w:rPr>
        <w:t xml:space="preserve"> </w:t>
      </w:r>
      <w:r w:rsidR="004C0D0A">
        <w:rPr>
          <w:rFonts w:ascii="Arial" w:hAnsi="Arial" w:hint="cs"/>
          <w:noProof w:val="0"/>
          <w:rtl/>
        </w:rPr>
        <w:t xml:space="preserve">בחקירתה החוזרת, הסבירה הנתבעת כי כי ניסתה לשכנע את התובע שיחזור איתה ועם </w:t>
      </w:r>
      <w:r w:rsidR="00873C5D">
        <w:rPr>
          <w:rFonts w:ascii="Arial" w:hAnsi="Arial" w:hint="cs"/>
          <w:noProof w:val="0"/>
          <w:rtl/>
        </w:rPr>
        <w:t>א.ל</w:t>
      </w:r>
      <w:r w:rsidR="00873C5D">
        <w:rPr>
          <w:rFonts w:ascii="Arial" w:hAnsi="Arial"/>
          <w:noProof w:val="0"/>
          <w:rtl/>
        </w:rPr>
        <w:t>'</w:t>
      </w:r>
      <w:r w:rsidR="004C0D0A">
        <w:rPr>
          <w:rFonts w:ascii="Arial" w:hAnsi="Arial" w:hint="cs"/>
          <w:noProof w:val="0"/>
          <w:rtl/>
        </w:rPr>
        <w:t xml:space="preserve"> לישראל [עמ' 54 ש' 31].</w:t>
      </w:r>
    </w:p>
    <w:p w:rsidR="0088725B" w:rsidRPr="0088725B" w:rsidRDefault="0088725B" w:rsidP="0088725B">
      <w:pPr>
        <w:pStyle w:val="ad"/>
        <w:spacing w:line="360" w:lineRule="auto"/>
        <w:jc w:val="both"/>
        <w:rPr>
          <w:rFonts w:ascii="Arial" w:hAnsi="Arial"/>
          <w:noProof w:val="0"/>
        </w:rPr>
      </w:pPr>
    </w:p>
    <w:p w:rsidR="00F313E3" w:rsidRDefault="005F794A" w:rsidP="006876F6">
      <w:pPr>
        <w:pStyle w:val="ad"/>
        <w:numPr>
          <w:ilvl w:val="0"/>
          <w:numId w:val="1"/>
        </w:numPr>
        <w:spacing w:line="360" w:lineRule="auto"/>
        <w:jc w:val="both"/>
        <w:rPr>
          <w:rFonts w:ascii="Arial" w:hAnsi="Arial"/>
          <w:noProof w:val="0"/>
        </w:rPr>
      </w:pPr>
      <w:r w:rsidRPr="00627FA0">
        <w:rPr>
          <w:rFonts w:ascii="Arial" w:hAnsi="Arial" w:hint="cs"/>
          <w:b/>
          <w:bCs/>
          <w:noProof w:val="0"/>
          <w:u w:val="single"/>
          <w:rtl/>
        </w:rPr>
        <w:t>אי הגעתו של התובע לישראל</w:t>
      </w:r>
      <w:r>
        <w:rPr>
          <w:rFonts w:ascii="Arial" w:hAnsi="Arial" w:hint="cs"/>
          <w:noProof w:val="0"/>
          <w:rtl/>
        </w:rPr>
        <w:t xml:space="preserve"> </w:t>
      </w:r>
      <w:r>
        <w:rPr>
          <w:rFonts w:ascii="Arial" w:hAnsi="Arial"/>
          <w:noProof w:val="0"/>
          <w:rtl/>
        </w:rPr>
        <w:t>–</w:t>
      </w:r>
      <w:r>
        <w:rPr>
          <w:rFonts w:ascii="Arial" w:hAnsi="Arial" w:hint="cs"/>
          <w:noProof w:val="0"/>
          <w:rtl/>
        </w:rPr>
        <w:t xml:space="preserve"> </w:t>
      </w:r>
      <w:r w:rsidR="00F313E3">
        <w:rPr>
          <w:rFonts w:ascii="Arial" w:hAnsi="Arial" w:hint="cs"/>
          <w:noProof w:val="0"/>
          <w:rtl/>
        </w:rPr>
        <w:t xml:space="preserve">לנוכח כלל הנתונים כמפורט לעיל, ובפרט המסקנה כי התובעת פעלה בהתאם להוראות הסכם הגירושין ופסק הדין, דומני כי אי הגעתו של התובע לישראל אינה בתום לב. התובע יכול היה להגיע להגיע להסדר ביניים עם הנתבעת אשר היה מאפשר הגעתו לישראל, ולו לתקופת ביניים ועד למתן הכרעה בתיק. אילו היה פועל כך, מן הסתם גם הבן </w:t>
      </w:r>
      <w:r w:rsidR="00873C5D">
        <w:rPr>
          <w:rFonts w:ascii="Arial" w:hAnsi="Arial" w:hint="cs"/>
          <w:noProof w:val="0"/>
          <w:rtl/>
        </w:rPr>
        <w:t>א.ל</w:t>
      </w:r>
      <w:r w:rsidR="00873C5D">
        <w:rPr>
          <w:rFonts w:ascii="Arial" w:hAnsi="Arial"/>
          <w:noProof w:val="0"/>
          <w:rtl/>
        </w:rPr>
        <w:t>'</w:t>
      </w:r>
      <w:r w:rsidR="00F313E3">
        <w:rPr>
          <w:rFonts w:ascii="Arial" w:hAnsi="Arial" w:hint="cs"/>
          <w:noProof w:val="0"/>
          <w:rtl/>
        </w:rPr>
        <w:t xml:space="preserve"> היה מגיע עמו, ומתאחד עם אחיו. בכך היה התובעת רואה לנגד עיניו את טובת ילדיו הקטינים, ופועל לטובתם.  דבר זה נכון בפרט שעה שהתובע יכול לבצע את עבודתו גם מישראל, ולא היתה כל מניעה כי היה עושה כן בפועל. </w:t>
      </w:r>
    </w:p>
    <w:p w:rsidR="002B3FAD" w:rsidRPr="00F313E3" w:rsidRDefault="002B3FAD" w:rsidP="002B3FAD">
      <w:pPr>
        <w:pStyle w:val="ad"/>
        <w:spacing w:line="360" w:lineRule="auto"/>
        <w:jc w:val="both"/>
        <w:rPr>
          <w:rFonts w:ascii="Arial" w:hAnsi="Arial"/>
          <w:noProof w:val="0"/>
        </w:rPr>
      </w:pPr>
    </w:p>
    <w:p w:rsidR="00A83AA1" w:rsidRDefault="002B3FAD" w:rsidP="00A83AA1">
      <w:pPr>
        <w:pStyle w:val="ad"/>
        <w:numPr>
          <w:ilvl w:val="0"/>
          <w:numId w:val="1"/>
        </w:numPr>
        <w:spacing w:line="360" w:lineRule="auto"/>
        <w:jc w:val="both"/>
        <w:rPr>
          <w:rFonts w:ascii="Arial" w:hAnsi="Arial"/>
          <w:noProof w:val="0"/>
        </w:rPr>
      </w:pPr>
      <w:r w:rsidRPr="00B96A18">
        <w:rPr>
          <w:rFonts w:ascii="Arial" w:hAnsi="Arial" w:hint="cs"/>
          <w:b/>
          <w:bCs/>
          <w:noProof w:val="0"/>
          <w:u w:val="single"/>
          <w:rtl/>
        </w:rPr>
        <w:t>הסכמתו של התובע לרישום הקטינים למסגרות החינוך</w:t>
      </w:r>
      <w:r>
        <w:rPr>
          <w:rFonts w:ascii="Arial" w:hAnsi="Arial" w:hint="cs"/>
          <w:noProof w:val="0"/>
          <w:rtl/>
        </w:rPr>
        <w:t xml:space="preserve"> </w:t>
      </w:r>
      <w:r>
        <w:rPr>
          <w:rFonts w:ascii="Arial" w:hAnsi="Arial"/>
          <w:noProof w:val="0"/>
          <w:rtl/>
        </w:rPr>
        <w:t>–</w:t>
      </w:r>
      <w:r>
        <w:rPr>
          <w:rFonts w:ascii="Arial" w:hAnsi="Arial" w:hint="cs"/>
          <w:noProof w:val="0"/>
          <w:rtl/>
        </w:rPr>
        <w:t xml:space="preserve"> הנתבעת צרפה לכתב ההגנה את מכתבו של התובע מיום 24/2/24, אשר נשלח באמצעות הודעת דוא"ל, למזכירות בית הספר בו לומדים הקטינים</w:t>
      </w:r>
      <w:r w:rsidR="00A13197">
        <w:rPr>
          <w:rFonts w:ascii="Arial" w:hAnsi="Arial" w:hint="cs"/>
          <w:noProof w:val="0"/>
          <w:rtl/>
        </w:rPr>
        <w:t xml:space="preserve">. אמנם המכתב כולל הסבר בדבר המחלוקת בין הצדדים אודות מקום מגורי הקטינים, וקיים אף אזכור לסוגיית ההליך המשפטי, ועם זאת, מדובר באישור שניתן עד לסוף שנת הלימודים הנוכחית, ולא ברור כיצד מתיישבת הסכמתו זו של הנתבע עם הטענה לחטיפה.   לכל היותר, יכולה עמדתו להצביע על מחלוקת [לגיטימית], אודות מקום המגורים, אותה ניתן לנהל באמצעות הליך משפטי, ואולם, מכאן ועד אמנת האג, קיים מרחק רב. </w:t>
      </w:r>
      <w:r w:rsidR="00B96A18">
        <w:rPr>
          <w:rFonts w:ascii="Arial" w:hAnsi="Arial" w:hint="cs"/>
          <w:noProof w:val="0"/>
          <w:rtl/>
        </w:rPr>
        <w:t xml:space="preserve">לאמור לעיל, יש להוסיף את מכתבו של התובע אל הנתבעת מיום 23/2/24, ואף בו חוזר התובע ומאשר את הסכמתו לרישום הקטינים למסגרתו החינוך בישראל, ואף אינו טוען לחטיפה או כל טענה דומה אחרת, זאת למרות שהוא מיוצג ע"י עו"ד ומן הסתן מודע היטב לזכויותיו. </w:t>
      </w:r>
      <w:r w:rsidR="00A83AA1">
        <w:rPr>
          <w:rFonts w:ascii="Arial" w:hAnsi="Arial" w:hint="cs"/>
          <w:noProof w:val="0"/>
          <w:rtl/>
        </w:rPr>
        <w:t xml:space="preserve"> לנוכח כלל האמור לעיל, אינני סבור כי יש להכריע האם עמדתו זו של התובע מהווה הסכמה או השלמה בהתאם, ועולה כדי החריג לחובת החזרה כמפורט בסעיף 13[א] לחוק, ומכל מקום, ברור כי אין מדובר בהתנהגות של אדם אשר מגלה לפתע כי ילדיו נחטפו ממנו, והועברו, ללא רצונו וללא ידיעתו, למדינה אחרת.    </w:t>
      </w:r>
    </w:p>
    <w:p w:rsidR="004C0D0A" w:rsidRDefault="004C0D0A" w:rsidP="00130FF8">
      <w:pPr>
        <w:spacing w:line="360" w:lineRule="auto"/>
        <w:ind w:left="360"/>
        <w:jc w:val="both"/>
        <w:rPr>
          <w:rFonts w:ascii="Arial" w:hAnsi="Arial"/>
          <w:b/>
          <w:bCs/>
          <w:noProof w:val="0"/>
          <w:u w:val="single"/>
          <w:rtl/>
        </w:rPr>
      </w:pPr>
    </w:p>
    <w:p w:rsidR="00130FF8" w:rsidRPr="00130FF8" w:rsidRDefault="00130FF8" w:rsidP="00130FF8">
      <w:pPr>
        <w:spacing w:line="360" w:lineRule="auto"/>
        <w:ind w:left="360"/>
        <w:jc w:val="both"/>
        <w:rPr>
          <w:rFonts w:ascii="Arial" w:hAnsi="Arial"/>
          <w:b/>
          <w:bCs/>
          <w:noProof w:val="0"/>
          <w:u w:val="single"/>
        </w:rPr>
      </w:pPr>
      <w:r w:rsidRPr="00130FF8">
        <w:rPr>
          <w:rFonts w:ascii="Arial" w:hAnsi="Arial" w:hint="cs"/>
          <w:b/>
          <w:bCs/>
          <w:noProof w:val="0"/>
          <w:u w:val="single"/>
          <w:rtl/>
        </w:rPr>
        <w:t>סיכום ותוצאה:</w:t>
      </w:r>
    </w:p>
    <w:p w:rsidR="005F794A" w:rsidRPr="00627FA0" w:rsidRDefault="005F794A" w:rsidP="00627FA0">
      <w:pPr>
        <w:spacing w:line="360" w:lineRule="auto"/>
        <w:jc w:val="both"/>
        <w:rPr>
          <w:rFonts w:ascii="Arial" w:hAnsi="Arial"/>
          <w:noProof w:val="0"/>
        </w:rPr>
      </w:pPr>
      <w:r w:rsidRPr="00627FA0">
        <w:rPr>
          <w:rFonts w:ascii="Arial" w:hAnsi="Arial" w:hint="cs"/>
          <w:noProof w:val="0"/>
          <w:rtl/>
        </w:rPr>
        <w:t xml:space="preserve"> </w:t>
      </w:r>
    </w:p>
    <w:p w:rsidR="00130FF8" w:rsidRPr="004C0D0A" w:rsidRDefault="00130FF8" w:rsidP="006876F6">
      <w:pPr>
        <w:pStyle w:val="ad"/>
        <w:numPr>
          <w:ilvl w:val="0"/>
          <w:numId w:val="1"/>
        </w:numPr>
        <w:spacing w:line="360" w:lineRule="auto"/>
        <w:jc w:val="both"/>
        <w:rPr>
          <w:rFonts w:ascii="Arial" w:hAnsi="Arial"/>
          <w:b/>
          <w:bCs/>
          <w:noProof w:val="0"/>
          <w:u w:val="single"/>
        </w:rPr>
      </w:pPr>
      <w:r>
        <w:rPr>
          <w:rFonts w:ascii="Arial" w:hAnsi="Arial" w:hint="cs"/>
          <w:noProof w:val="0"/>
          <w:rtl/>
        </w:rPr>
        <w:t xml:space="preserve">לנוכח כלל האמור, הגעתי למסקנה לפיה, דין התביעה שהוגשה להשבת הקטינים בהתאם להוראות אמנת האג בתיק 55773-03-24 </w:t>
      </w:r>
      <w:r>
        <w:rPr>
          <w:rFonts w:ascii="Arial" w:hAnsi="Arial"/>
          <w:noProof w:val="0"/>
          <w:rtl/>
        </w:rPr>
        <w:t>–</w:t>
      </w:r>
      <w:r>
        <w:rPr>
          <w:rFonts w:ascii="Arial" w:hAnsi="Arial" w:hint="cs"/>
          <w:noProof w:val="0"/>
          <w:rtl/>
        </w:rPr>
        <w:t xml:space="preserve"> </w:t>
      </w:r>
      <w:r w:rsidR="004C0D0A" w:rsidRPr="004C0D0A">
        <w:rPr>
          <w:rFonts w:ascii="Arial" w:hAnsi="Arial" w:hint="cs"/>
          <w:b/>
          <w:bCs/>
          <w:noProof w:val="0"/>
          <w:u w:val="single"/>
          <w:rtl/>
        </w:rPr>
        <w:t>להידחו</w:t>
      </w:r>
      <w:r w:rsidR="004C0D0A" w:rsidRPr="004C0D0A">
        <w:rPr>
          <w:rFonts w:ascii="Arial" w:hAnsi="Arial" w:hint="eastAsia"/>
          <w:b/>
          <w:bCs/>
          <w:noProof w:val="0"/>
          <w:u w:val="single"/>
          <w:rtl/>
        </w:rPr>
        <w:t>ת</w:t>
      </w:r>
      <w:r w:rsidRPr="004C0D0A">
        <w:rPr>
          <w:rFonts w:ascii="Arial" w:hAnsi="Arial" w:hint="cs"/>
          <w:b/>
          <w:bCs/>
          <w:noProof w:val="0"/>
          <w:u w:val="single"/>
          <w:rtl/>
        </w:rPr>
        <w:t>.</w:t>
      </w:r>
    </w:p>
    <w:p w:rsidR="00130FF8" w:rsidRDefault="00130FF8" w:rsidP="00130FF8">
      <w:pPr>
        <w:pStyle w:val="ad"/>
        <w:spacing w:line="360" w:lineRule="auto"/>
        <w:jc w:val="both"/>
        <w:rPr>
          <w:rFonts w:ascii="Arial" w:hAnsi="Arial"/>
          <w:noProof w:val="0"/>
        </w:rPr>
      </w:pPr>
    </w:p>
    <w:p w:rsidR="00130FF8" w:rsidRDefault="00130FF8" w:rsidP="006876F6">
      <w:pPr>
        <w:pStyle w:val="ad"/>
        <w:numPr>
          <w:ilvl w:val="0"/>
          <w:numId w:val="1"/>
        </w:numPr>
        <w:spacing w:line="360" w:lineRule="auto"/>
        <w:jc w:val="both"/>
        <w:rPr>
          <w:rFonts w:ascii="Arial" w:hAnsi="Arial"/>
          <w:noProof w:val="0"/>
        </w:rPr>
      </w:pPr>
      <w:r w:rsidRPr="004C0D0A">
        <w:rPr>
          <w:rFonts w:ascii="Arial" w:hAnsi="Arial" w:hint="cs"/>
          <w:b/>
          <w:bCs/>
          <w:noProof w:val="0"/>
          <w:u w:val="single"/>
          <w:rtl/>
        </w:rPr>
        <w:t>בכל הנוגע ל</w:t>
      </w:r>
      <w:r w:rsidR="004C0D0A" w:rsidRPr="004C0D0A">
        <w:rPr>
          <w:rFonts w:ascii="Arial" w:hAnsi="Arial" w:hint="cs"/>
          <w:b/>
          <w:bCs/>
          <w:noProof w:val="0"/>
          <w:u w:val="single"/>
          <w:rtl/>
        </w:rPr>
        <w:t>תביעה הנוספת, תמ"ש 21280-04-24</w:t>
      </w:r>
      <w:r w:rsidR="004C0D0A">
        <w:rPr>
          <w:rFonts w:ascii="Arial" w:hAnsi="Arial" w:hint="cs"/>
          <w:noProof w:val="0"/>
          <w:rtl/>
        </w:rPr>
        <w:t xml:space="preserve">  - </w:t>
      </w:r>
      <w:r>
        <w:rPr>
          <w:rFonts w:ascii="Arial" w:hAnsi="Arial" w:hint="cs"/>
          <w:noProof w:val="0"/>
          <w:rtl/>
        </w:rPr>
        <w:t xml:space="preserve">משנדחתה התביעה ע"פ אמנת האג, למעשה, תביעה זו הופכת לתביעה למשמורת וחלוקת זמני שהות. יחד עם זאת, לנוכח העובדה כי בית המשפט באוסטרליה נתן הוראות להמשך בדיקה ודיון, ייתכן כי התביעה מתייתרת.  אני מאפשר לצדדים שהות של 30 יום להודיע עמדתם האם קיים צורך להמשיך ולדון </w:t>
      </w:r>
      <w:r>
        <w:rPr>
          <w:rFonts w:ascii="Arial" w:hAnsi="Arial" w:hint="cs"/>
          <w:noProof w:val="0"/>
          <w:rtl/>
        </w:rPr>
        <w:lastRenderedPageBreak/>
        <w:t>בתביעה, וככל שלא תוגש כל הודעה נוספת, בתוך המועד כאמור, תמחק התביעה ללא צורך בהחלטה שיפוטית נוספת. ימי הפגרה במניין.</w:t>
      </w:r>
    </w:p>
    <w:p w:rsidR="00130FF8" w:rsidRPr="00130FF8" w:rsidRDefault="00130FF8" w:rsidP="00130FF8">
      <w:pPr>
        <w:pStyle w:val="ad"/>
        <w:rPr>
          <w:rFonts w:ascii="Arial" w:hAnsi="Arial"/>
          <w:noProof w:val="0"/>
          <w:rtl/>
        </w:rPr>
      </w:pPr>
    </w:p>
    <w:p w:rsidR="00517BF6" w:rsidRDefault="00517BF6" w:rsidP="006876F6">
      <w:pPr>
        <w:pStyle w:val="ad"/>
        <w:numPr>
          <w:ilvl w:val="0"/>
          <w:numId w:val="1"/>
        </w:numPr>
        <w:spacing w:line="360" w:lineRule="auto"/>
        <w:jc w:val="both"/>
        <w:rPr>
          <w:rFonts w:ascii="Arial" w:hAnsi="Arial"/>
          <w:noProof w:val="0"/>
        </w:rPr>
      </w:pPr>
      <w:r w:rsidRPr="004C0D0A">
        <w:rPr>
          <w:rFonts w:ascii="Arial" w:hAnsi="Arial" w:hint="cs"/>
          <w:b/>
          <w:bCs/>
          <w:noProof w:val="0"/>
          <w:u w:val="single"/>
          <w:rtl/>
        </w:rPr>
        <w:t>הוצאות</w:t>
      </w:r>
      <w:r w:rsidR="00130FF8" w:rsidRPr="004C0D0A">
        <w:rPr>
          <w:rFonts w:ascii="Arial" w:hAnsi="Arial" w:hint="cs"/>
          <w:b/>
          <w:bCs/>
          <w:noProof w:val="0"/>
          <w:u w:val="single"/>
          <w:rtl/>
        </w:rPr>
        <w:t xml:space="preserve"> </w:t>
      </w:r>
      <w:r w:rsidR="00130FF8" w:rsidRPr="004C0D0A">
        <w:rPr>
          <w:rFonts w:ascii="Arial" w:hAnsi="Arial"/>
          <w:b/>
          <w:bCs/>
          <w:noProof w:val="0"/>
          <w:u w:val="single"/>
          <w:rtl/>
        </w:rPr>
        <w:t>–</w:t>
      </w:r>
      <w:r w:rsidR="00130FF8">
        <w:rPr>
          <w:rFonts w:ascii="Arial" w:hAnsi="Arial" w:hint="cs"/>
          <w:noProof w:val="0"/>
          <w:rtl/>
        </w:rPr>
        <w:t xml:space="preserve"> לנוכח התוצאה אליה הגעתי, ולאחר ששקלתי אופן התנהלות הצדדים, ורוחב היריעה, אני מחייב את התובע לשלם לנתבעת הוצאות משפט ושכ"ט עו"ד בסך כולל של 35,000 ₪.</w:t>
      </w:r>
    </w:p>
    <w:p w:rsidR="004C0D0A" w:rsidRPr="004C0D0A" w:rsidRDefault="004C0D0A" w:rsidP="004C0D0A">
      <w:pPr>
        <w:pStyle w:val="ad"/>
        <w:rPr>
          <w:rFonts w:ascii="Arial" w:hAnsi="Arial"/>
          <w:noProof w:val="0"/>
          <w:rtl/>
        </w:rPr>
      </w:pPr>
    </w:p>
    <w:p w:rsidR="004C0D0A" w:rsidRDefault="004C0D0A" w:rsidP="006876F6">
      <w:pPr>
        <w:pStyle w:val="ad"/>
        <w:numPr>
          <w:ilvl w:val="0"/>
          <w:numId w:val="1"/>
        </w:numPr>
        <w:spacing w:line="360" w:lineRule="auto"/>
        <w:jc w:val="both"/>
        <w:rPr>
          <w:rFonts w:ascii="Arial" w:hAnsi="Arial"/>
          <w:noProof w:val="0"/>
        </w:rPr>
      </w:pPr>
      <w:r>
        <w:rPr>
          <w:rFonts w:ascii="Arial" w:hAnsi="Arial" w:hint="cs"/>
          <w:noProof w:val="0"/>
          <w:rtl/>
        </w:rPr>
        <w:t>פסק הדין מותר לפרסום תוך השמטת פרטים מזהים.</w:t>
      </w:r>
    </w:p>
    <w:p w:rsidR="00130FF8" w:rsidRPr="00130FF8" w:rsidRDefault="00130FF8" w:rsidP="00130FF8">
      <w:pPr>
        <w:pStyle w:val="ad"/>
        <w:rPr>
          <w:rFonts w:ascii="Arial" w:hAnsi="Arial"/>
          <w:noProof w:val="0"/>
          <w:rtl/>
        </w:rPr>
      </w:pPr>
    </w:p>
    <w:p w:rsidR="00130FF8" w:rsidRDefault="00130FF8" w:rsidP="006876F6">
      <w:pPr>
        <w:pStyle w:val="ad"/>
        <w:numPr>
          <w:ilvl w:val="0"/>
          <w:numId w:val="1"/>
        </w:numPr>
        <w:spacing w:line="360" w:lineRule="auto"/>
        <w:jc w:val="both"/>
        <w:rPr>
          <w:rFonts w:ascii="Arial" w:hAnsi="Arial"/>
          <w:noProof w:val="0"/>
        </w:rPr>
      </w:pPr>
      <w:r>
        <w:rPr>
          <w:rFonts w:ascii="Arial" w:hAnsi="Arial" w:hint="cs"/>
          <w:noProof w:val="0"/>
          <w:rtl/>
        </w:rPr>
        <w:t>זכות ערעור כחוק.</w:t>
      </w:r>
    </w:p>
    <w:p w:rsidR="00130FF8" w:rsidRPr="00130FF8" w:rsidRDefault="00130FF8" w:rsidP="00130FF8">
      <w:pPr>
        <w:pStyle w:val="ad"/>
        <w:rPr>
          <w:rFonts w:ascii="Arial" w:hAnsi="Arial"/>
          <w:noProof w:val="0"/>
          <w:rtl/>
        </w:rPr>
      </w:pPr>
    </w:p>
    <w:p w:rsidR="00130FF8" w:rsidRPr="00130FF8" w:rsidRDefault="00130FF8" w:rsidP="00130FF8">
      <w:pPr>
        <w:spacing w:line="360" w:lineRule="auto"/>
        <w:jc w:val="both"/>
        <w:rPr>
          <w:rFonts w:ascii="Arial" w:hAnsi="Arial"/>
          <w:b/>
          <w:bCs/>
          <w:noProof w:val="0"/>
          <w:u w:val="single"/>
        </w:rPr>
      </w:pPr>
      <w:r w:rsidRPr="00130FF8">
        <w:rPr>
          <w:rFonts w:ascii="Arial" w:hAnsi="Arial" w:hint="cs"/>
          <w:b/>
          <w:bCs/>
          <w:noProof w:val="0"/>
          <w:u w:val="single"/>
          <w:rtl/>
        </w:rPr>
        <w:t>המזכירות תמציא לצדדים ותסגור תיק 55773-03-24 כמפורט לעיל.</w:t>
      </w:r>
    </w:p>
    <w:p w:rsidR="00694556" w:rsidRDefault="00005C8B">
      <w:pPr>
        <w:spacing w:line="360" w:lineRule="auto"/>
        <w:jc w:val="both"/>
        <w:rPr>
          <w:rFonts w:ascii="Arial" w:hAnsi="Arial"/>
          <w:noProof w:val="0"/>
          <w:rtl/>
        </w:rPr>
      </w:pPr>
      <w:r>
        <w:rPr>
          <w:rFonts w:ascii="Arial" w:hAnsi="Arial"/>
          <w:noProof w:val="0"/>
          <w:rtl/>
        </w:rPr>
        <w:t xml:space="preserve">ניתן היום,  </w:t>
      </w:r>
      <w:sdt>
        <w:sdtPr>
          <w:rPr>
            <w:rtl/>
          </w:rPr>
          <w:alias w:val="1455"/>
          <w:tag w:val="1455"/>
          <w:id w:val="242217728"/>
          <w:text w:multiLine="1"/>
        </w:sdtPr>
        <w:sdtEndPr/>
        <w:sdtContent>
          <w:r>
            <w:rPr>
              <w:rFonts w:ascii="Arial" w:hAnsi="Arial"/>
              <w:noProof w:val="0"/>
              <w:rtl/>
            </w:rPr>
            <w:t>ח' תמוז תשפ"ד</w:t>
          </w:r>
        </w:sdtContent>
      </w:sdt>
      <w:r>
        <w:rPr>
          <w:rFonts w:ascii="Arial" w:hAnsi="Arial"/>
          <w:noProof w:val="0"/>
          <w:rtl/>
        </w:rPr>
        <w:t xml:space="preserve">, </w:t>
      </w:r>
      <w:sdt>
        <w:sdtPr>
          <w:rPr>
            <w:rtl/>
          </w:rPr>
          <w:alias w:val="1456"/>
          <w:tag w:val="1456"/>
          <w:id w:val="-1101635932"/>
          <w:text w:multiLine="1"/>
        </w:sdtPr>
        <w:sdtEndPr/>
        <w:sdtContent>
          <w:r>
            <w:rPr>
              <w:rFonts w:ascii="Arial" w:hAnsi="Arial"/>
              <w:noProof w:val="0"/>
              <w:rtl/>
            </w:rPr>
            <w:t>14 יולי 2024</w:t>
          </w:r>
        </w:sdtContent>
      </w:sdt>
      <w:r>
        <w:rPr>
          <w:rFonts w:ascii="Arial" w:hAnsi="Arial"/>
          <w:noProof w:val="0"/>
          <w:rtl/>
        </w:rPr>
        <w:t>, בהעדר הצדדים.</w:t>
      </w:r>
    </w:p>
    <w:p w:rsidR="005B0F49" w:rsidRDefault="005B0F49" w:rsidP="00633C4F">
      <w:pPr>
        <w:spacing w:line="360" w:lineRule="auto"/>
        <w:jc w:val="both"/>
        <w:rPr>
          <w:rFonts w:ascii="Arial" w:hAnsi="Arial"/>
          <w:noProof w:val="0"/>
          <w:rtl/>
        </w:rPr>
      </w:pPr>
      <w:r>
        <w:rPr>
          <w:rFonts w:ascii="Arial" w:hAnsi="Arial" w:hint="cs"/>
          <w:noProof w:val="0"/>
          <w:rtl/>
        </w:rPr>
        <w:tab/>
      </w:r>
      <w:r>
        <w:rPr>
          <w:rFonts w:ascii="Arial" w:hAnsi="Arial" w:hint="cs"/>
          <w:noProof w:val="0"/>
          <w:rtl/>
        </w:rPr>
        <w:tab/>
      </w:r>
      <w:r>
        <w:rPr>
          <w:rFonts w:ascii="Arial" w:hAnsi="Arial" w:hint="cs"/>
          <w:noProof w:val="0"/>
          <w:rtl/>
        </w:rPr>
        <w:tab/>
      </w:r>
      <w:r>
        <w:rPr>
          <w:rFonts w:ascii="Arial" w:hAnsi="Arial" w:hint="cs"/>
          <w:noProof w:val="0"/>
          <w:rtl/>
        </w:rPr>
        <w:tab/>
      </w:r>
      <w:r>
        <w:rPr>
          <w:rFonts w:ascii="Arial" w:hAnsi="Arial" w:hint="cs"/>
          <w:noProof w:val="0"/>
          <w:rtl/>
        </w:rPr>
        <w:tab/>
      </w:r>
      <w:r w:rsidR="00633C4F">
        <w:rPr>
          <w:rFonts w:ascii="Arial" w:hAnsi="Arial"/>
          <w:noProof w:val="0"/>
          <w:rtl/>
        </w:rPr>
        <w:tab/>
      </w:r>
      <w:sdt>
        <w:sdtPr>
          <w:rPr>
            <w:rFonts w:ascii="Arial" w:hAnsi="Arial" w:hint="cs"/>
            <w:noProof w:val="0"/>
            <w:rtl/>
          </w:rPr>
          <w:alias w:val="2045"/>
          <w:tag w:val="2045"/>
          <w:id w:val="1736736771"/>
          <w:placeholder>
            <w:docPart w:val="03459962B6984C23A2D5882F7D086C2E"/>
          </w:placeholder>
          <w:showingPlcHdr/>
          <w:text w:multiLine="1"/>
        </w:sdtPr>
        <w:sdtEndPr/>
        <w:sdtContent/>
      </w:sdt>
      <w:r>
        <w:rPr>
          <w:rFonts w:ascii="Arial" w:hAnsi="Arial" w:hint="cs"/>
          <w:noProof w:val="0"/>
          <w:rtl/>
        </w:rPr>
        <w:tab/>
      </w:r>
      <w:r>
        <w:rPr>
          <w:rFonts w:ascii="Arial" w:hAnsi="Arial" w:hint="cs"/>
          <w:noProof w:val="0"/>
          <w:rtl/>
        </w:rPr>
        <w:tab/>
      </w:r>
      <w:r w:rsidR="00633C4F">
        <w:rPr>
          <w:rFonts w:ascii="Arial" w:hAnsi="Arial"/>
          <w:noProof w:val="0"/>
          <w:rtl/>
        </w:rPr>
        <w:t xml:space="preserve"> </w:t>
      </w:r>
    </w:p>
    <w:p w:rsidR="00694556" w:rsidRDefault="0021374B" w:rsidP="00A83AA1">
      <w:pPr>
        <w:spacing w:line="360" w:lineRule="auto"/>
        <w:ind w:left="3600" w:firstLine="720"/>
      </w:pPr>
      <w:sdt>
        <w:sdtPr>
          <w:rPr>
            <w:rtl/>
          </w:rPr>
          <w:alias w:val="MergeField"/>
          <w:tag w:val="1237"/>
          <w:id w:val="-562869909"/>
        </w:sdtPr>
        <w:sdtEndPr/>
        <w:sdtContent>
          <w:r w:rsidR="00E528A7">
            <w:drawing>
              <wp:inline distT="0" distB="0" distL="0" distR="0" wp14:editId="50D07946">
                <wp:extent cx="1685925" cy="971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23" cstate="print">
                          <a:extLst/>
                        </a:blip>
                        <a:stretch>
                          <a:fillRect/>
                        </a:stretch>
                      </pic:blipFill>
                      <pic:spPr>
                        <a:xfrm>
                          <a:off x="0" y="0"/>
                          <a:ext cx="1685925" cy="971550"/>
                        </a:xfrm>
                        <a:prstGeom prst="rect">
                          <a:avLst/>
                        </a:prstGeom>
                      </pic:spPr>
                    </pic:pic>
                  </a:graphicData>
                </a:graphic>
              </wp:inline>
            </w:drawing>
          </w:r>
        </w:sdtContent>
      </w:sdt>
    </w:p>
    <w:p w:rsidR="00694556" w:rsidRDefault="00694556" w:rsidP="00A83AA1">
      <w:pPr>
        <w:spacing w:line="360" w:lineRule="auto"/>
        <w:ind w:left="3600" w:firstLine="720"/>
        <w:rPr>
          <w:rFonts w:ascii="Arial" w:hAnsi="Arial"/>
          <w:noProof w:val="0"/>
          <w:rtl/>
        </w:rPr>
      </w:pPr>
    </w:p>
    <w:sectPr w:rsidR="00694556" w:rsidSect="00903896">
      <w:headerReference w:type="even" r:id="rId24"/>
      <w:headerReference w:type="default" r:id="rId25"/>
      <w:footerReference w:type="even" r:id="rId26"/>
      <w:footerReference w:type="default" r:id="rId27"/>
      <w:headerReference w:type="first" r:id="rId28"/>
      <w:footerReference w:type="first" r:id="rId29"/>
      <w:pgSz w:w="11907" w:h="16840" w:code="9"/>
      <w:pgMar w:top="720" w:right="1701" w:bottom="1134" w:left="1701" w:header="720" w:footer="737"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1374B" w:rsidRDefault="0021374B">
      <w:r>
        <w:separator/>
      </w:r>
    </w:p>
  </w:endnote>
  <w:endnote w:type="continuationSeparator" w:id="0">
    <w:p w:rsidR="0021374B" w:rsidRDefault="002137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TUR">
    <w:altName w:val="Arial"/>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Arial">
    <w:panose1 w:val="020B0604020202020204"/>
    <w:charset w:val="00"/>
    <w:family w:val="swiss"/>
    <w:pitch w:val="variable"/>
    <w:sig w:usb0="E0002EFF" w:usb1="C000785B" w:usb2="00000009" w:usb3="00000000" w:csb0="000001FF" w:csb1="00000000"/>
  </w:font>
  <w:font w:name="Miriam">
    <w:panose1 w:val="020B050205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47B8" w:rsidRDefault="004447B8">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4556" w:rsidRPr="004E6E3C" w:rsidRDefault="002352F7">
    <w:pPr>
      <w:pStyle w:val="a4"/>
      <w:jc w:val="center"/>
      <w:rPr>
        <w:rStyle w:val="ab"/>
      </w:rPr>
    </w:pPr>
    <w:r w:rsidRPr="004E6E3C">
      <w:rPr>
        <w:rStyle w:val="ab"/>
        <w:rFonts w:cs="Times New Roman"/>
      </w:rPr>
      <w:fldChar w:fldCharType="begin"/>
    </w:r>
    <w:r w:rsidR="00005C8B" w:rsidRPr="004E6E3C">
      <w:rPr>
        <w:rStyle w:val="ab"/>
        <w:rFonts w:cs="Times New Roman"/>
      </w:rPr>
      <w:instrText xml:space="preserve"> PAGE </w:instrText>
    </w:r>
    <w:r w:rsidRPr="004E6E3C">
      <w:rPr>
        <w:rStyle w:val="ab"/>
        <w:rFonts w:cs="Times New Roman"/>
      </w:rPr>
      <w:fldChar w:fldCharType="separate"/>
    </w:r>
    <w:r w:rsidR="004447B8">
      <w:rPr>
        <w:rStyle w:val="ab"/>
        <w:rFonts w:cs="Times New Roman"/>
        <w:rtl/>
      </w:rPr>
      <w:t>1</w:t>
    </w:r>
    <w:r w:rsidRPr="004E6E3C">
      <w:rPr>
        <w:rStyle w:val="ab"/>
        <w:rFonts w:cs="Times New Roman"/>
      </w:rPr>
      <w:fldChar w:fldCharType="end"/>
    </w:r>
    <w:r w:rsidR="00005C8B" w:rsidRPr="004E6E3C">
      <w:rPr>
        <w:rStyle w:val="ab"/>
        <w:rFonts w:hint="cs"/>
        <w:rtl/>
      </w:rPr>
      <w:t xml:space="preserve"> מתוך </w:t>
    </w:r>
    <w:r w:rsidRPr="004E6E3C">
      <w:rPr>
        <w:rStyle w:val="ab"/>
      </w:rPr>
      <w:fldChar w:fldCharType="begin"/>
    </w:r>
    <w:r w:rsidR="00005C8B" w:rsidRPr="004E6E3C">
      <w:rPr>
        <w:rStyle w:val="ab"/>
      </w:rPr>
      <w:instrText xml:space="preserve"> NUMPAGES </w:instrText>
    </w:r>
    <w:r w:rsidRPr="004E6E3C">
      <w:rPr>
        <w:rStyle w:val="ab"/>
      </w:rPr>
      <w:fldChar w:fldCharType="separate"/>
    </w:r>
    <w:r w:rsidR="004447B8">
      <w:rPr>
        <w:rStyle w:val="ab"/>
        <w:rtl/>
      </w:rPr>
      <w:t>23</w:t>
    </w:r>
    <w:r w:rsidRPr="004E6E3C">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47B8" w:rsidRDefault="004447B8">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1374B" w:rsidRDefault="0021374B">
      <w:r>
        <w:separator/>
      </w:r>
    </w:p>
  </w:footnote>
  <w:footnote w:type="continuationSeparator" w:id="0">
    <w:p w:rsidR="0021374B" w:rsidRDefault="002137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47B8" w:rsidRDefault="004447B8">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4556" w:rsidRDefault="001277D7">
    <w:pPr>
      <w:pStyle w:val="a3"/>
      <w:jc w:val="center"/>
      <w:rPr>
        <w:rFonts w:cs="FrankRuehl"/>
        <w:noProof w:val="0"/>
        <w:sz w:val="28"/>
        <w:szCs w:val="28"/>
        <w:rtl/>
      </w:rPr>
    </w:pPr>
    <w:r>
      <w:rPr>
        <w:rFonts w:cs="FrankRuehl"/>
        <w:sz w:val="28"/>
        <w:szCs w:val="28"/>
      </w:rPr>
      <w:drawing>
        <wp:inline distT="0" distB="0" distL="0" distR="0" wp14:anchorId="1F9F84A5" wp14:editId="45B07E1D">
          <wp:extent cx="371475" cy="466725"/>
          <wp:effectExtent l="0" t="0" r="9525" b="9525"/>
          <wp:docPr id="7"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1475" cy="46672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3"/>
      <w:gridCol w:w="3582"/>
    </w:tblGrid>
    <w:tr w:rsidR="00694556" w:rsidTr="00541598">
      <w:trPr>
        <w:trHeight w:hRule="exact" w:val="670"/>
        <w:jc w:val="center"/>
      </w:trPr>
      <w:sdt>
        <w:sdtPr>
          <w:rPr>
            <w:rtl/>
          </w:rPr>
          <w:alias w:val="1174"/>
          <w:tag w:val="1174"/>
          <w:id w:val="-1775709220"/>
          <w:text/>
        </w:sdtPr>
        <w:sdtEndPr/>
        <w:sdtContent>
          <w:tc>
            <w:tcPr>
              <w:tcW w:w="8721" w:type="dxa"/>
              <w:gridSpan w:val="2"/>
            </w:tcPr>
            <w:p w:rsidR="00694556" w:rsidRDefault="00005C8B">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בחיפה</w:t>
              </w:r>
            </w:p>
          </w:tc>
        </w:sdtContent>
      </w:sdt>
    </w:tr>
    <w:tr w:rsidR="00694556">
      <w:trPr>
        <w:trHeight w:val="337"/>
        <w:jc w:val="center"/>
      </w:trPr>
      <w:tc>
        <w:tcPr>
          <w:tcW w:w="5047" w:type="dxa"/>
        </w:tcPr>
        <w:p w:rsidR="00694556" w:rsidRDefault="00694556">
          <w:pPr>
            <w:rPr>
              <w:b/>
              <w:bCs/>
              <w:noProof w:val="0"/>
              <w:sz w:val="26"/>
              <w:szCs w:val="26"/>
              <w:rtl/>
            </w:rPr>
          </w:pPr>
        </w:p>
      </w:tc>
      <w:tc>
        <w:tcPr>
          <w:tcW w:w="3674" w:type="dxa"/>
        </w:tcPr>
        <w:p w:rsidR="00694556" w:rsidRDefault="00694556">
          <w:pPr>
            <w:pStyle w:val="a3"/>
            <w:jc w:val="right"/>
            <w:rPr>
              <w:b/>
              <w:bCs/>
              <w:noProof w:val="0"/>
              <w:sz w:val="26"/>
              <w:szCs w:val="26"/>
              <w:rtl/>
            </w:rPr>
          </w:pPr>
        </w:p>
      </w:tc>
    </w:tr>
    <w:tr w:rsidR="00694556">
      <w:trPr>
        <w:trHeight w:val="337"/>
        <w:jc w:val="center"/>
      </w:trPr>
      <w:tc>
        <w:tcPr>
          <w:tcW w:w="8721" w:type="dxa"/>
          <w:gridSpan w:val="2"/>
        </w:tcPr>
        <w:p w:rsidR="00694556" w:rsidRDefault="0021374B" w:rsidP="003C62F1">
          <w:pPr>
            <w:rPr>
              <w:b/>
              <w:bCs/>
              <w:noProof w:val="0"/>
              <w:sz w:val="26"/>
              <w:szCs w:val="26"/>
              <w:rtl/>
            </w:rPr>
          </w:pPr>
          <w:sdt>
            <w:sdtPr>
              <w:rPr>
                <w:b/>
                <w:bCs/>
                <w:noProof w:val="0"/>
                <w:sz w:val="26"/>
                <w:szCs w:val="26"/>
                <w:rtl/>
              </w:rPr>
              <w:alias w:val="1170"/>
              <w:tag w:val="1170"/>
              <w:id w:val="299038016"/>
              <w:text w:multiLine="1"/>
            </w:sdtPr>
            <w:sdtEndPr/>
            <w:sdtContent>
              <w:r w:rsidR="00D855A1">
                <w:rPr>
                  <w:b/>
                  <w:bCs/>
                  <w:noProof w:val="0"/>
                  <w:sz w:val="26"/>
                  <w:szCs w:val="26"/>
                  <w:rtl/>
                </w:rPr>
                <w:t>תמ"ש</w:t>
              </w:r>
            </w:sdtContent>
          </w:sdt>
          <w:r w:rsidR="00005C8B">
            <w:rPr>
              <w:b/>
              <w:bCs/>
              <w:noProof w:val="0"/>
              <w:sz w:val="26"/>
              <w:szCs w:val="26"/>
              <w:rtl/>
            </w:rPr>
            <w:t xml:space="preserve"> </w:t>
          </w:r>
          <w:bookmarkStart w:id="0" w:name="_GoBack"/>
          <w:sdt>
            <w:sdtPr>
              <w:rPr>
                <w:b/>
                <w:bCs/>
                <w:noProof w:val="0"/>
                <w:sz w:val="26"/>
                <w:szCs w:val="26"/>
                <w:rtl/>
              </w:rPr>
              <w:alias w:val="1171"/>
              <w:tag w:val="1171"/>
              <w:id w:val="81650337"/>
              <w:text w:multiLine="1"/>
            </w:sdtPr>
            <w:sdtEndPr/>
            <w:sdtContent>
              <w:r w:rsidR="00D855A1">
                <w:rPr>
                  <w:b/>
                  <w:bCs/>
                  <w:noProof w:val="0"/>
                  <w:sz w:val="26"/>
                  <w:szCs w:val="26"/>
                  <w:rtl/>
                </w:rPr>
                <w:t>55773-03-24</w:t>
              </w:r>
            </w:sdtContent>
          </w:sdt>
          <w:bookmarkEnd w:id="0"/>
          <w:r w:rsidR="00005C8B">
            <w:rPr>
              <w:b/>
              <w:bCs/>
              <w:noProof w:val="0"/>
              <w:sz w:val="26"/>
              <w:szCs w:val="26"/>
              <w:rtl/>
            </w:rPr>
            <w:t xml:space="preserve"> </w:t>
          </w:r>
          <w:sdt>
            <w:sdtPr>
              <w:rPr>
                <w:b/>
                <w:bCs/>
                <w:noProof w:val="0"/>
                <w:sz w:val="26"/>
                <w:szCs w:val="26"/>
                <w:rtl/>
              </w:rPr>
              <w:alias w:val="1172"/>
              <w:tag w:val="1172"/>
              <w:id w:val="-1742169342"/>
              <w:text w:multiLine="1"/>
            </w:sdtPr>
            <w:sdtEndPr/>
            <w:sdtContent>
              <w:r w:rsidR="003C62F1">
                <w:rPr>
                  <w:rFonts w:hint="cs"/>
                  <w:b/>
                  <w:bCs/>
                  <w:noProof w:val="0"/>
                  <w:sz w:val="26"/>
                  <w:szCs w:val="26"/>
                  <w:rtl/>
                </w:rPr>
                <w:t>פלוני</w:t>
              </w:r>
              <w:r w:rsidR="00D855A1">
                <w:rPr>
                  <w:b/>
                  <w:bCs/>
                  <w:noProof w:val="0"/>
                  <w:sz w:val="26"/>
                  <w:szCs w:val="26"/>
                  <w:rtl/>
                </w:rPr>
                <w:t xml:space="preserve"> נ' </w:t>
              </w:r>
              <w:r w:rsidR="003C62F1">
                <w:rPr>
                  <w:rFonts w:hint="cs"/>
                  <w:b/>
                  <w:bCs/>
                  <w:noProof w:val="0"/>
                  <w:sz w:val="26"/>
                  <w:szCs w:val="26"/>
                  <w:rtl/>
                </w:rPr>
                <w:t>אלמונית</w:t>
              </w:r>
              <w:r w:rsidR="00D855A1">
                <w:rPr>
                  <w:b/>
                  <w:bCs/>
                  <w:noProof w:val="0"/>
                  <w:sz w:val="26"/>
                  <w:szCs w:val="26"/>
                  <w:rtl/>
                </w:rPr>
                <w:t xml:space="preserve"> ואח'</w:t>
              </w:r>
              <w:r w:rsidR="00055DBD">
                <w:rPr>
                  <w:b/>
                  <w:bCs/>
                  <w:noProof w:val="0"/>
                  <w:sz w:val="26"/>
                  <w:szCs w:val="26"/>
                  <w:rtl/>
                </w:rPr>
                <w:br/>
              </w:r>
              <w:r w:rsidR="00055DBD">
                <w:rPr>
                  <w:rFonts w:hint="cs"/>
                  <w:b/>
                  <w:bCs/>
                  <w:noProof w:val="0"/>
                  <w:sz w:val="26"/>
                  <w:szCs w:val="26"/>
                  <w:rtl/>
                </w:rPr>
                <w:t xml:space="preserve">תמ"ש 21280-04-24 </w:t>
              </w:r>
            </w:sdtContent>
          </w:sdt>
        </w:p>
        <w:p w:rsidR="00694556" w:rsidRPr="00957C90" w:rsidRDefault="00694556">
          <w:pPr>
            <w:rPr>
              <w:b/>
              <w:bCs/>
              <w:noProof w:val="0"/>
              <w:sz w:val="2"/>
              <w:szCs w:val="2"/>
              <w:rtl/>
            </w:rPr>
          </w:pPr>
        </w:p>
        <w:p w:rsidR="0043595F" w:rsidRDefault="00957C90" w:rsidP="00957C90">
          <w:pPr>
            <w:rPr>
              <w:b/>
              <w:bCs/>
              <w:noProof w:val="0"/>
              <w:sz w:val="26"/>
              <w:szCs w:val="26"/>
              <w:rtl/>
            </w:rPr>
          </w:pPr>
          <w:r w:rsidRPr="00957C90">
            <w:rPr>
              <w:rFonts w:hint="cs"/>
              <w:b/>
              <w:bCs/>
              <w:noProof w:val="0"/>
              <w:sz w:val="26"/>
              <w:szCs w:val="26"/>
              <w:rtl/>
            </w:rPr>
            <w:t xml:space="preserve"> </w:t>
          </w:r>
        </w:p>
        <w:p w:rsidR="00957C90" w:rsidRPr="00957C90" w:rsidRDefault="005C7EC6">
          <w:pPr>
            <w:rPr>
              <w:b/>
              <w:bCs/>
              <w:noProof w:val="0"/>
              <w:sz w:val="26"/>
              <w:szCs w:val="26"/>
              <w:rtl/>
            </w:rPr>
          </w:pPr>
          <w:r>
            <w:rPr>
              <w:rFonts w:hint="cs"/>
              <w:sz w:val="20"/>
              <w:szCs w:val="20"/>
              <w:rtl/>
            </w:rPr>
            <w:t xml:space="preserve">תיק חיצוני: </w:t>
          </w:r>
          <w:sdt>
            <w:sdtPr>
              <w:rPr>
                <w:rFonts w:hint="cs"/>
                <w:sz w:val="20"/>
                <w:szCs w:val="20"/>
                <w:rtl/>
              </w:rPr>
              <w:alias w:val="1572"/>
              <w:tag w:val="1572"/>
              <w:id w:val="940805582"/>
              <w:showingPlcHdr/>
              <w:text w:multiLine="1"/>
            </w:sdtPr>
            <w:sdtEndPr/>
            <w:sdtContent>
              <w:sdt>
                <w:sdtPr>
                  <w:rPr>
                    <w:rFonts w:hint="cs"/>
                    <w:sz w:val="20"/>
                    <w:szCs w:val="20"/>
                    <w:rtl/>
                  </w:rPr>
                  <w:alias w:val="1198"/>
                  <w:tag w:val="1198"/>
                  <w:id w:val="-51619777"/>
                  <w:text w:multiLine="1"/>
                </w:sdtPr>
                <w:sdtEndPr/>
                <w:sdtContent/>
              </w:sdt>
              <w:r>
                <w:rPr>
                  <w:rFonts w:hint="cs"/>
                  <w:sz w:val="20"/>
                  <w:szCs w:val="20"/>
                  <w:rtl/>
                </w:rPr>
                <w:t xml:space="preserve"> </w:t>
              </w:r>
            </w:sdtContent>
          </w:sdt>
          <w:r>
            <w:rPr>
              <w:rFonts w:hint="cs"/>
              <w:sz w:val="20"/>
              <w:szCs w:val="20"/>
              <w:rtl/>
            </w:rPr>
            <w:t xml:space="preserve"> </w:t>
          </w:r>
        </w:p>
      </w:tc>
    </w:tr>
  </w:tbl>
  <w:p w:rsidR="00694556" w:rsidRDefault="00005C8B">
    <w:pPr>
      <w:pStyle w:val="a3"/>
      <w:rPr>
        <w:noProof w:val="0"/>
        <w:rtl/>
      </w:rPr>
    </w:pPr>
    <w:r>
      <w:rPr>
        <w:noProof w:val="0"/>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47B8" w:rsidRDefault="004447B8">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D16845"/>
    <w:multiLevelType w:val="hybridMultilevel"/>
    <w:tmpl w:val="ABBE030A"/>
    <w:lvl w:ilvl="0" w:tplc="26084516">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2D4A1D0C"/>
    <w:multiLevelType w:val="hybridMultilevel"/>
    <w:tmpl w:val="F0A0D71E"/>
    <w:lvl w:ilvl="0" w:tplc="30FA554C">
      <w:start w:val="1"/>
      <w:numFmt w:val="decimal"/>
      <w:lvlText w:val="%1."/>
      <w:lvlJc w:val="left"/>
      <w:pPr>
        <w:ind w:left="720" w:hanging="360"/>
      </w:pPr>
      <w:rPr>
        <w:lang w:bidi="he-I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DC44EB"/>
    <w:multiLevelType w:val="hybridMultilevel"/>
    <w:tmpl w:val="A000AE7E"/>
    <w:lvl w:ilvl="0" w:tplc="22E4CEC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1CD36B5"/>
    <w:multiLevelType w:val="hybridMultilevel"/>
    <w:tmpl w:val="887EEBDC"/>
    <w:lvl w:ilvl="0" w:tplc="FF70F876">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D2E4370"/>
    <w:multiLevelType w:val="hybridMultilevel"/>
    <w:tmpl w:val="E08CDA44"/>
    <w:lvl w:ilvl="0" w:tplc="11AE89D8">
      <w:start w:val="1"/>
      <w:numFmt w:val="decimal"/>
      <w:lvlText w:val="%1."/>
      <w:lvlJc w:val="left"/>
      <w:pPr>
        <w:tabs>
          <w:tab w:val="num" w:pos="792"/>
        </w:tabs>
        <w:ind w:left="0" w:firstLine="0"/>
      </w:pPr>
      <w:rPr>
        <w:lang w:val="en-US"/>
      </w:rPr>
    </w:lvl>
    <w:lvl w:ilvl="1" w:tplc="E2241348">
      <w:start w:val="1"/>
      <w:numFmt w:val="decimal"/>
      <w:lvlText w:val="%2."/>
      <w:lvlJc w:val="left"/>
      <w:pPr>
        <w:tabs>
          <w:tab w:val="num" w:pos="792"/>
        </w:tabs>
        <w:ind w:left="0" w:firstLine="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610C545C"/>
    <w:multiLevelType w:val="hybridMultilevel"/>
    <w:tmpl w:val="191EF8FE"/>
    <w:lvl w:ilvl="0" w:tplc="0409000F">
      <w:start w:val="1"/>
      <w:numFmt w:val="decimal"/>
      <w:lvlText w:val="%1."/>
      <w:lvlJc w:val="left"/>
      <w:pPr>
        <w:ind w:left="1080" w:hanging="360"/>
      </w:p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 w15:restartNumberingAfterBreak="0">
    <w:nsid w:val="68FC683A"/>
    <w:multiLevelType w:val="hybridMultilevel"/>
    <w:tmpl w:val="791C94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6C9563BE"/>
    <w:multiLevelType w:val="hybridMultilevel"/>
    <w:tmpl w:val="274E35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5DE270D"/>
    <w:multiLevelType w:val="hybridMultilevel"/>
    <w:tmpl w:val="BA0A91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7B663AB8"/>
    <w:multiLevelType w:val="hybridMultilevel"/>
    <w:tmpl w:val="7CECC7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
  </w:num>
  <w:num w:numId="5">
    <w:abstractNumId w:val="1"/>
  </w:num>
  <w:num w:numId="6">
    <w:abstractNumId w:val="8"/>
  </w:num>
  <w:num w:numId="7">
    <w:abstractNumId w:val="0"/>
  </w:num>
  <w:num w:numId="8">
    <w:abstractNumId w:val="9"/>
  </w:num>
  <w:num w:numId="9">
    <w:abstractNumId w:val="5"/>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81099250"/>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81099250&amp;lt;/CaseID&amp;gt;_x000d__x000a_        &amp;lt;CaseMonth&amp;gt;3&amp;lt;/CaseMonth&amp;gt;_x000d__x000a_        &amp;lt;CaseYear&amp;gt;2024&amp;lt;/CaseYear&amp;gt;_x000d__x000a_        &amp;lt;CaseNumber&amp;gt;55773&amp;lt;/CaseNumber&amp;gt;_x000d__x000a_        &amp;lt;NumeratorGroupID&amp;gt;1&amp;lt;/NumeratorGroupID&amp;gt;_x000d__x000a_        &amp;lt;CaseName&amp;gt;אלגרנטי נ&amp;#39; אלגרנטי פרן ואח&amp;#39;&amp;lt;/CaseName&amp;gt;_x000d__x000a_        &amp;lt;CourtID&amp;gt;26&amp;lt;/CourtID&amp;gt;_x000d__x000a_        &amp;lt;CaseTypeID&amp;gt;15&amp;lt;/CaseTypeID&amp;gt;_x000d__x000a_        &amp;lt;CaseInterestID&amp;gt;139&amp;lt;/CaseInterestID&amp;gt;_x000d__x000a_        &amp;lt;CaseJudgeName&amp;gt;טל פפרני&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55773-03-24&amp;lt;/CaseDisplayIdentifier&amp;gt;_x000d__x000a_        &amp;lt;CaseTypeDesc&amp;gt;תמ&amp;quot;ש&amp;lt;/CaseTypeDesc&amp;gt;_x000d__x000a_        &amp;lt;CourtDesc&amp;gt;שלום חיפה&amp;lt;/CourtDesc&amp;gt;_x000d__x000a_        &amp;lt;CaseStageDesc&amp;gt;תיק אלקטרוני&amp;lt;/CaseStageDesc&amp;gt;_x000d__x000a_        &amp;lt;IsUnpaidFeeExist&amp;gt;false&amp;lt;/IsUnpaidFeeExist&amp;gt;_x000d__x000a_        &amp;lt;CaseNextDeterminingTask&amp;gt;34&amp;lt;/CaseNextDeterminingTask&amp;gt;_x000d__x000a_        &amp;lt;CaseOpenDate&amp;gt;2024-03-25T07:00:00+02:00&amp;lt;/CaseOpenDate&amp;gt;_x000d__x000a_        &amp;lt;PleaTypeID&amp;gt;4&amp;lt;/PleaTypeID&amp;gt;_x000d__x000a_        &amp;lt;CourtLevelID&amp;gt;1&amp;lt;/CourtLevelID&amp;gt;_x000d__x000a_        &amp;lt;CourtLevelCaseTypeInterestID&amp;gt;125&amp;lt;/CourtLevelCaseTypeInterestID&amp;gt;_x000d__x000a_        &amp;lt;CaseJudgeFirstName&amp;gt;טל&amp;lt;/CaseJudgeFirstName&amp;gt;_x000d__x000a_        &amp;lt;CaseJudgeLastName&amp;gt;פפרני&amp;lt;/CaseJudgeLastName&amp;gt;_x000d__x000a_        &amp;lt;JudicalPersonID&amp;gt;023095623@GOV.IL&amp;lt;/JudicalPersonID&amp;gt;_x000d__x000a_        &amp;lt;IsJudicalPanel&amp;gt;false&amp;lt;/IsJudicalPanel&amp;gt;_x000d__x000a_        &amp;lt;CourtDisplayName&amp;gt;בית משפט לענייני משפחה בחיפה&amp;lt;/CourtDisplayName&amp;gt;_x000d__x000a_        &amp;lt;IsAllStartDataCollected&amp;gt;true&amp;lt;/IsAllStartDataCollected&amp;gt;_x000d__x000a_        &amp;lt;IsMainCase&amp;gt;false&amp;lt;/IsMainCase&amp;gt;_x000d__x000a_        &amp;lt;CaseDesc&amp;gt;נשלחה ההחלטה מיום 2.4 בפקס ידני לנעמי מטעם יח&amp;#39;&amp;#39;ס, אישרה בטלפון שקיבלה&amp;lt;/CaseDesc&amp;gt;_x000d__x000a_        &amp;lt;isExistMinorSide&amp;gt;true&amp;lt;/isExistMinorSide&amp;gt;_x000d__x000a_        &amp;lt;isExistMinorWitness&amp;gt;false&amp;lt;/isExistMinorWitness&amp;gt;_x000d__x000a_        &amp;lt;ArchivingActivityID&amp;gt;1&amp;lt;/ArchivingActivityID&amp;gt;_x000d__x000a_        &amp;lt;IsAccessibilityRequired&amp;gt;false&amp;lt;/IsAccessibilityRequired&amp;gt;_x000d__x000a_        &amp;lt;IsDecisionTypeZaveElyon&amp;gt;false&amp;lt;/IsDecisionTypeZaveElyon&amp;gt;_x000d__x000a_        &amp;lt;IsFeePaid&amp;gt;tru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81099250&amp;lt;/CaseID&amp;gt;_x000d__x000a_        &amp;lt;CaseMonth&amp;gt;3&amp;lt;/CaseMonth&amp;gt;_x000d__x000a_        &amp;lt;CaseYear&amp;gt;2024&amp;lt;/CaseYear&amp;gt;_x000d__x000a_        &amp;lt;CaseNumber&amp;gt;55773&amp;lt;/CaseNumber&amp;gt;_x000d__x000a_        &amp;lt;NumeratorGroupID&amp;gt;1&amp;lt;/NumeratorGroupID&amp;gt;_x000d__x000a_        &amp;lt;CaseName&amp;gt;אלגרנטי נ&amp;#39; אלגרנטי פרן ואח&amp;#39;&amp;lt;/CaseName&amp;gt;_x000d__x000a_        &amp;lt;CourtID&amp;gt;26&amp;lt;/CourtID&amp;gt;_x000d__x000a_        &amp;lt;CaseTypeID&amp;gt;15&amp;lt;/CaseTypeID&amp;gt;_x000d__x000a_        &amp;lt;CaseInterestID&amp;gt;139&amp;lt;/CaseInterestID&amp;gt;_x000d__x000a_        &amp;lt;CaseJudgeName&amp;gt;טל פפרני&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55773-03-24&amp;lt;/CaseDisplayIdentifier&amp;gt;_x000d__x000a_        &amp;lt;CaseTypeDesc&amp;gt;תמ&amp;quot;ש&amp;lt;/CaseTypeDesc&amp;gt;_x000d__x000a_        &amp;lt;CourtDesc&amp;gt;שלום חיפה&amp;lt;/CourtDesc&amp;gt;_x000d__x000a_        &amp;lt;CaseStageDesc&amp;gt;תיק אלקטרוני&amp;lt;/CaseStageDesc&amp;gt;_x000d__x000a_        &amp;lt;CaseNextDeterminingTask&amp;gt;34&amp;lt;/CaseNextDeterminingTask&amp;gt;_x000d__x000a_        &amp;lt;CaseOpenDate&amp;gt;2024-03-25T07:00:00+02:00&amp;lt;/CaseOpenDate&amp;gt;_x000d__x000a_        &amp;lt;PleaTypeID&amp;gt;4&amp;lt;/PleaTypeID&amp;gt;_x000d__x000a_        &amp;lt;CourtLevelID&amp;gt;1&amp;lt;/CourtLevelID&amp;gt;_x000d__x000a_        &amp;lt;CourtLevelCaseTypeInterestID&amp;gt;125&amp;lt;/CourtLevelCaseTypeInterestID&amp;gt;_x000d__x000a_        &amp;lt;CaseJudgeFirstName&amp;gt;טל&amp;lt;/CaseJudgeFirstName&amp;gt;_x000d__x000a_        &amp;lt;CaseJudgeLastName&amp;gt;פפרני&amp;lt;/CaseJudgeLastName&amp;gt;_x000d__x000a_        &amp;lt;JudicalPersonID&amp;gt;023095623@GOV.IL&amp;lt;/JudicalPersonID&amp;gt;_x000d__x000a_        &amp;lt;IsJudicalPanel&amp;gt;false&amp;lt;/IsJudicalPanel&amp;gt;_x000d__x000a_        &amp;lt;CourtDisplayName&amp;gt;בית משפט לענייני משפחה בחיפה&amp;lt;/CourtDisplayName&amp;gt;_x000d__x000a_        &amp;lt;IsAllStartDataCollected&amp;gt;true&amp;lt;/IsAllStartDataCollected&amp;gt;_x000d__x000a_        &amp;lt;IsMainCase&amp;gt;false&amp;lt;/IsMainCase&amp;gt;_x000d__x000a_        &amp;lt;CaseDesc&amp;gt;נשלחה ההחלטה מיום 2.4 בפקס ידני לנעמי מטעם יח&amp;#39;&amp;#39;ס, אישרה בטלפון שקיבלה&amp;lt;/CaseDesc&amp;gt;_x000d__x000a_        &amp;lt;ArchivingActivityID&amp;gt;1&amp;lt;/ArchivingActivity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26"/>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52668929&amp;lt;/DecisionID&amp;gt;_x000d__x000a_        &amp;lt;DecisionName&amp;gt;פסק דין  שניתנה ע&amp;quot;י  טל פפרני&amp;lt;/DecisionName&amp;gt;_x000d__x000a_        &amp;lt;DecisionStatusID&amp;gt;1&amp;lt;/DecisionStatusID&amp;gt;_x000d__x000a_        &amp;lt;DecisionStatusChangeDate&amp;gt;2024-07-12T10:06:58.137+03:00&amp;lt;/DecisionStatusChangeDate&amp;gt;_x000d__x000a_        &amp;lt;DecisionSignatureDate&amp;gt;2024-07-05T12:50:24.18+03:00&amp;lt;/DecisionSignatureDate&amp;gt;_x000d__x000a_        &amp;lt;DecisionSignatureUserID&amp;gt;023095623@GOV.IL&amp;lt;/DecisionSignatureUserID&amp;gt;_x000d__x000a_        &amp;lt;DecisionCreateDate&amp;gt;2024-07-05T12:55:36.79+03:00&amp;lt;/DecisionCreateDate&amp;gt;_x000d__x000a_        &amp;lt;DecisionChangeDate&amp;gt;2024-07-12T10:06:58.257+03:00&amp;lt;/DecisionChangeDate&amp;gt;_x000d__x000a_        &amp;lt;DecisionChangeUserID&amp;gt;023095623@GOV.IL&amp;lt;/DecisionChangeUserID&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2&amp;lt;/DecisionTypeID&amp;gt;_x000d__x000a_        &amp;lt;IsOnlyOneParty&amp;gt;false&amp;lt;/IsOnlyOneParty&amp;gt;_x000d__x000a_        &amp;lt;IsCanceledDecision&amp;gt;false&amp;lt;/IsCanceledDecision&amp;gt;_x000d__x000a_        &amp;lt;DocumentID&amp;gt;447903491&amp;lt;/DocumentID&amp;gt;_x000d__x000a_        &amp;lt;PrivilegeID&amp;gt;2&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3095623@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23095623@GOV.IL&amp;lt;/DecisionCreationUserID&amp;gt;_x000d__x000a_        &amp;lt;DecisionDisplayName&amp;gt;פסק דין  שניתנה ע&amp;quot;י  טל פפרני&amp;lt;/DecisionDisplayName&amp;gt;_x000d__x000a_        &amp;lt;IsScanned&amp;gt;false&amp;lt;/IsScanned&amp;gt;_x000d__x000a_        &amp;lt;DecisionSignatureUserName&amp;gt;טל פפרני&amp;lt;/DecisionSignatureUserName&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45&amp;lt;/DecisionNumberInCase&amp;gt;_x000d__x000a_      &amp;lt;/dt_Decision&amp;gt;_x000d__x000a_      &amp;lt;dt_DecisionCase diffgr:id=&amp;quot;dt_DecisionCase1&amp;quot; msdata:rowOrder=&amp;quot;0&amp;quot;&amp;gt;_x000d__x000a_        &amp;lt;DecisionID&amp;gt;152668929&amp;lt;/DecisionID&amp;gt;_x000d__x000a_        &amp;lt;CaseID&amp;gt;81099250&amp;lt;/CaseID&amp;gt;_x000d__x000a_        &amp;lt;IsOriginal&amp;gt;true&amp;lt;/IsOriginal&amp;gt;_x000d__x000a_        &amp;lt;IsDeleted&amp;gt;false&amp;lt;/IsDeleted&amp;gt;_x000d__x000a_        &amp;lt;CaseName&amp;gt;אלגרנטי נ&amp;#39; אלגרנטי פרן ואח&amp;#39;&amp;lt;/CaseName&amp;gt;_x000d__x000a_        &amp;lt;CaseDisplayIdentifier&amp;gt;55773-03-24 תמ&amp;quot;ש&amp;lt;/CaseDisplayIdentifier&amp;gt;_x000d__x000a_      &amp;lt;/dt_DecisionCase&amp;gt;_x000d__x000a_    &amp;lt;/DecisionDS&amp;gt;_x000d__x000a_  &amp;lt;/diffgr:diffgram&amp;gt;_x000d__x000a_&amp;lt;/DecisionDS&amp;gt;"/>
    <w:docVar w:name="DecisionID" w:val="152668929"/>
    <w:docVar w:name="WordClientAssemblyName" w:val="NGCS.Decision.ClientWordBL"/>
    <w:docVar w:name="WordClientClassName" w:val="NGCS.Decision.ClientWordBL.DecisionClient"/>
  </w:docVars>
  <w:rsids>
    <w:rsidRoot w:val="00694556"/>
    <w:rsid w:val="00005C8B"/>
    <w:rsid w:val="000146C2"/>
    <w:rsid w:val="00015A15"/>
    <w:rsid w:val="00016C35"/>
    <w:rsid w:val="000258FD"/>
    <w:rsid w:val="00036BBB"/>
    <w:rsid w:val="00037A6C"/>
    <w:rsid w:val="00055DBD"/>
    <w:rsid w:val="000564AB"/>
    <w:rsid w:val="000911D3"/>
    <w:rsid w:val="00091900"/>
    <w:rsid w:val="000D4A02"/>
    <w:rsid w:val="000E0BE2"/>
    <w:rsid w:val="001072A9"/>
    <w:rsid w:val="001164CD"/>
    <w:rsid w:val="00121F97"/>
    <w:rsid w:val="001277D7"/>
    <w:rsid w:val="00130FF8"/>
    <w:rsid w:val="00132017"/>
    <w:rsid w:val="00133323"/>
    <w:rsid w:val="0014234E"/>
    <w:rsid w:val="00145A87"/>
    <w:rsid w:val="0017581F"/>
    <w:rsid w:val="00183BDE"/>
    <w:rsid w:val="00185FC7"/>
    <w:rsid w:val="00186BA7"/>
    <w:rsid w:val="001A0712"/>
    <w:rsid w:val="001A1ADF"/>
    <w:rsid w:val="001A3BB6"/>
    <w:rsid w:val="001B6C33"/>
    <w:rsid w:val="001C4003"/>
    <w:rsid w:val="001D72EC"/>
    <w:rsid w:val="001F5474"/>
    <w:rsid w:val="0021374B"/>
    <w:rsid w:val="00215351"/>
    <w:rsid w:val="002352F7"/>
    <w:rsid w:val="0024151A"/>
    <w:rsid w:val="002566C2"/>
    <w:rsid w:val="00260684"/>
    <w:rsid w:val="00260F78"/>
    <w:rsid w:val="002650D2"/>
    <w:rsid w:val="00270CFF"/>
    <w:rsid w:val="00272494"/>
    <w:rsid w:val="0027277D"/>
    <w:rsid w:val="00276875"/>
    <w:rsid w:val="00276BEA"/>
    <w:rsid w:val="00286B4D"/>
    <w:rsid w:val="002A2D96"/>
    <w:rsid w:val="002B3FAD"/>
    <w:rsid w:val="002D2C68"/>
    <w:rsid w:val="002D52D5"/>
    <w:rsid w:val="003325C0"/>
    <w:rsid w:val="0035323C"/>
    <w:rsid w:val="00353476"/>
    <w:rsid w:val="0036507C"/>
    <w:rsid w:val="0037265D"/>
    <w:rsid w:val="00374AB7"/>
    <w:rsid w:val="00374DBA"/>
    <w:rsid w:val="00376968"/>
    <w:rsid w:val="003771A2"/>
    <w:rsid w:val="00381D3A"/>
    <w:rsid w:val="003823DA"/>
    <w:rsid w:val="003C62F1"/>
    <w:rsid w:val="003D76D8"/>
    <w:rsid w:val="00401199"/>
    <w:rsid w:val="00410C8C"/>
    <w:rsid w:val="00425CFD"/>
    <w:rsid w:val="0043595F"/>
    <w:rsid w:val="00436C39"/>
    <w:rsid w:val="004447B8"/>
    <w:rsid w:val="004617D6"/>
    <w:rsid w:val="0047645A"/>
    <w:rsid w:val="004C0D0A"/>
    <w:rsid w:val="004C3EA4"/>
    <w:rsid w:val="004C4F98"/>
    <w:rsid w:val="004D49A3"/>
    <w:rsid w:val="004D50AC"/>
    <w:rsid w:val="004E6E3C"/>
    <w:rsid w:val="0050390D"/>
    <w:rsid w:val="00506818"/>
    <w:rsid w:val="00507505"/>
    <w:rsid w:val="00510CF2"/>
    <w:rsid w:val="005124F1"/>
    <w:rsid w:val="0051653F"/>
    <w:rsid w:val="00517BF6"/>
    <w:rsid w:val="00530BAD"/>
    <w:rsid w:val="00541598"/>
    <w:rsid w:val="00547DB7"/>
    <w:rsid w:val="00561849"/>
    <w:rsid w:val="00567324"/>
    <w:rsid w:val="00577BC5"/>
    <w:rsid w:val="005A1EA6"/>
    <w:rsid w:val="005B049B"/>
    <w:rsid w:val="005B0F49"/>
    <w:rsid w:val="005C7EC6"/>
    <w:rsid w:val="005D4BDB"/>
    <w:rsid w:val="005D6CDD"/>
    <w:rsid w:val="005E63EE"/>
    <w:rsid w:val="005E7BD0"/>
    <w:rsid w:val="005F4C89"/>
    <w:rsid w:val="005F794A"/>
    <w:rsid w:val="00622118"/>
    <w:rsid w:val="006223E6"/>
    <w:rsid w:val="00622BAA"/>
    <w:rsid w:val="00625C89"/>
    <w:rsid w:val="00627FA0"/>
    <w:rsid w:val="00633C4F"/>
    <w:rsid w:val="0063626C"/>
    <w:rsid w:val="00636615"/>
    <w:rsid w:val="00637F50"/>
    <w:rsid w:val="006437C0"/>
    <w:rsid w:val="00653ADB"/>
    <w:rsid w:val="00653F26"/>
    <w:rsid w:val="00671BD5"/>
    <w:rsid w:val="006726A4"/>
    <w:rsid w:val="0067549B"/>
    <w:rsid w:val="006805C1"/>
    <w:rsid w:val="006816EC"/>
    <w:rsid w:val="006849A5"/>
    <w:rsid w:val="006876F6"/>
    <w:rsid w:val="00694556"/>
    <w:rsid w:val="006A3A31"/>
    <w:rsid w:val="006B030F"/>
    <w:rsid w:val="006C27E7"/>
    <w:rsid w:val="006E1A53"/>
    <w:rsid w:val="006E20E5"/>
    <w:rsid w:val="006F11A8"/>
    <w:rsid w:val="007056AA"/>
    <w:rsid w:val="007339E5"/>
    <w:rsid w:val="00735A04"/>
    <w:rsid w:val="00744F41"/>
    <w:rsid w:val="007652F2"/>
    <w:rsid w:val="0076736C"/>
    <w:rsid w:val="00772EA0"/>
    <w:rsid w:val="007A24FE"/>
    <w:rsid w:val="007A35AA"/>
    <w:rsid w:val="007A6FE0"/>
    <w:rsid w:val="007C0FC5"/>
    <w:rsid w:val="007C1F8D"/>
    <w:rsid w:val="007C33EE"/>
    <w:rsid w:val="007F1048"/>
    <w:rsid w:val="0080335D"/>
    <w:rsid w:val="0080779A"/>
    <w:rsid w:val="0081038D"/>
    <w:rsid w:val="00820005"/>
    <w:rsid w:val="00821E5D"/>
    <w:rsid w:val="0083030A"/>
    <w:rsid w:val="00836751"/>
    <w:rsid w:val="00843F83"/>
    <w:rsid w:val="00846D27"/>
    <w:rsid w:val="008610A7"/>
    <w:rsid w:val="00873C5D"/>
    <w:rsid w:val="00882A67"/>
    <w:rsid w:val="0088725B"/>
    <w:rsid w:val="00887CD5"/>
    <w:rsid w:val="00895AD3"/>
    <w:rsid w:val="008A44B8"/>
    <w:rsid w:val="008B04BB"/>
    <w:rsid w:val="008D53E1"/>
    <w:rsid w:val="008E1332"/>
    <w:rsid w:val="00903896"/>
    <w:rsid w:val="00927813"/>
    <w:rsid w:val="009371A6"/>
    <w:rsid w:val="00944D13"/>
    <w:rsid w:val="00957C90"/>
    <w:rsid w:val="00971962"/>
    <w:rsid w:val="009746C8"/>
    <w:rsid w:val="00982ED5"/>
    <w:rsid w:val="00984F1E"/>
    <w:rsid w:val="009A449E"/>
    <w:rsid w:val="009B1463"/>
    <w:rsid w:val="009B70F6"/>
    <w:rsid w:val="009C358E"/>
    <w:rsid w:val="009E0263"/>
    <w:rsid w:val="009E268F"/>
    <w:rsid w:val="009E5A08"/>
    <w:rsid w:val="009F79D1"/>
    <w:rsid w:val="00A13197"/>
    <w:rsid w:val="00A267CF"/>
    <w:rsid w:val="00A43458"/>
    <w:rsid w:val="00A529AA"/>
    <w:rsid w:val="00A675C8"/>
    <w:rsid w:val="00A83AA1"/>
    <w:rsid w:val="00A862DC"/>
    <w:rsid w:val="00A96D53"/>
    <w:rsid w:val="00AC43B3"/>
    <w:rsid w:val="00AC4E19"/>
    <w:rsid w:val="00AD3545"/>
    <w:rsid w:val="00AD478D"/>
    <w:rsid w:val="00AD4CB4"/>
    <w:rsid w:val="00AE546C"/>
    <w:rsid w:val="00AF044B"/>
    <w:rsid w:val="00AF0B35"/>
    <w:rsid w:val="00AF1ED6"/>
    <w:rsid w:val="00AF41E4"/>
    <w:rsid w:val="00B11B27"/>
    <w:rsid w:val="00B16CFD"/>
    <w:rsid w:val="00B32C61"/>
    <w:rsid w:val="00B368FE"/>
    <w:rsid w:val="00B46C4B"/>
    <w:rsid w:val="00B642F2"/>
    <w:rsid w:val="00B7444C"/>
    <w:rsid w:val="00B80C74"/>
    <w:rsid w:val="00B80CBD"/>
    <w:rsid w:val="00B96A18"/>
    <w:rsid w:val="00BA2E31"/>
    <w:rsid w:val="00BA2FBA"/>
    <w:rsid w:val="00BA323E"/>
    <w:rsid w:val="00BC3369"/>
    <w:rsid w:val="00BC4B95"/>
    <w:rsid w:val="00BD3E50"/>
    <w:rsid w:val="00BE1D38"/>
    <w:rsid w:val="00BF0339"/>
    <w:rsid w:val="00BF35F4"/>
    <w:rsid w:val="00BF77EE"/>
    <w:rsid w:val="00C1090C"/>
    <w:rsid w:val="00C1331E"/>
    <w:rsid w:val="00C32E0F"/>
    <w:rsid w:val="00C42BF9"/>
    <w:rsid w:val="00C50288"/>
    <w:rsid w:val="00C620B5"/>
    <w:rsid w:val="00C63BBA"/>
    <w:rsid w:val="00C6561C"/>
    <w:rsid w:val="00C71492"/>
    <w:rsid w:val="00C83E56"/>
    <w:rsid w:val="00CA07DC"/>
    <w:rsid w:val="00CA649B"/>
    <w:rsid w:val="00CB74A7"/>
    <w:rsid w:val="00CC63CE"/>
    <w:rsid w:val="00CD005B"/>
    <w:rsid w:val="00CD1CBA"/>
    <w:rsid w:val="00CD21E0"/>
    <w:rsid w:val="00CF1C99"/>
    <w:rsid w:val="00CF7DA1"/>
    <w:rsid w:val="00D319B3"/>
    <w:rsid w:val="00D35FE9"/>
    <w:rsid w:val="00D36A71"/>
    <w:rsid w:val="00D439E7"/>
    <w:rsid w:val="00D53924"/>
    <w:rsid w:val="00D60849"/>
    <w:rsid w:val="00D60CB9"/>
    <w:rsid w:val="00D63CB3"/>
    <w:rsid w:val="00D81AD3"/>
    <w:rsid w:val="00D855A1"/>
    <w:rsid w:val="00D96D8C"/>
    <w:rsid w:val="00D975DD"/>
    <w:rsid w:val="00DA755B"/>
    <w:rsid w:val="00DB168D"/>
    <w:rsid w:val="00DB5FEB"/>
    <w:rsid w:val="00DC02B0"/>
    <w:rsid w:val="00DD337E"/>
    <w:rsid w:val="00DD4EA8"/>
    <w:rsid w:val="00DF1A36"/>
    <w:rsid w:val="00DF352E"/>
    <w:rsid w:val="00E00B6F"/>
    <w:rsid w:val="00E02044"/>
    <w:rsid w:val="00E419D7"/>
    <w:rsid w:val="00E44DDF"/>
    <w:rsid w:val="00E462AE"/>
    <w:rsid w:val="00E50219"/>
    <w:rsid w:val="00E528A7"/>
    <w:rsid w:val="00E54642"/>
    <w:rsid w:val="00E579B1"/>
    <w:rsid w:val="00E85B90"/>
    <w:rsid w:val="00E867B8"/>
    <w:rsid w:val="00E97908"/>
    <w:rsid w:val="00EB334B"/>
    <w:rsid w:val="00EB7156"/>
    <w:rsid w:val="00ED408F"/>
    <w:rsid w:val="00EE11CB"/>
    <w:rsid w:val="00EF1809"/>
    <w:rsid w:val="00EF3ED0"/>
    <w:rsid w:val="00EF7771"/>
    <w:rsid w:val="00F030BF"/>
    <w:rsid w:val="00F17E56"/>
    <w:rsid w:val="00F2253C"/>
    <w:rsid w:val="00F313E3"/>
    <w:rsid w:val="00F76E5E"/>
    <w:rsid w:val="00F82201"/>
    <w:rsid w:val="00F87F05"/>
    <w:rsid w:val="00F9052F"/>
    <w:rsid w:val="00FC49B4"/>
    <w:rsid w:val="00FE2339"/>
    <w:rsid w:val="00FE3A32"/>
    <w:rsid w:val="00FE7BDA"/>
    <w:rsid w:val="00FF3380"/>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B536381-D80A-4082-BD55-2E470B05DB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table" w:customStyle="1" w:styleId="1">
    <w:name w:val="טבלת רשת1"/>
    <w:basedOn w:val="a1"/>
    <w:next w:val="a9"/>
    <w:rsid w:val="001C4003"/>
    <w:pPr>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Placeholder Text"/>
    <w:basedOn w:val="a0"/>
    <w:uiPriority w:val="99"/>
    <w:semiHidden/>
    <w:rsid w:val="00957C90"/>
    <w:rPr>
      <w:color w:val="808080"/>
    </w:rPr>
  </w:style>
  <w:style w:type="paragraph" w:styleId="ad">
    <w:name w:val="List Paragraph"/>
    <w:basedOn w:val="a"/>
    <w:uiPriority w:val="34"/>
    <w:qFormat/>
    <w:rsid w:val="00517BF6"/>
    <w:pPr>
      <w:ind w:left="720"/>
      <w:contextualSpacing/>
    </w:pPr>
  </w:style>
  <w:style w:type="character" w:styleId="Hyperlink">
    <w:name w:val="Hyperlink"/>
    <w:basedOn w:val="a0"/>
    <w:uiPriority w:val="99"/>
    <w:semiHidden/>
    <w:unhideWhenUsed/>
    <w:rsid w:val="00DF1A36"/>
    <w:rPr>
      <w:color w:val="0563C1"/>
      <w:u w:val="single"/>
    </w:rPr>
  </w:style>
  <w:style w:type="paragraph" w:customStyle="1" w:styleId="P01">
    <w:name w:val="P01"/>
    <w:basedOn w:val="a"/>
    <w:uiPriority w:val="99"/>
    <w:rsid w:val="00DF1A36"/>
    <w:pPr>
      <w:autoSpaceDE w:val="0"/>
      <w:autoSpaceDN w:val="0"/>
      <w:spacing w:before="60"/>
      <w:ind w:left="2835" w:right="624" w:hanging="624"/>
      <w:jc w:val="both"/>
    </w:pPr>
    <w:rPr>
      <w:rFonts w:eastAsiaTheme="minorHAnsi" w:cs="Times New Roman"/>
      <w:noProof w:val="0"/>
      <w:sz w:val="20"/>
      <w:szCs w:val="20"/>
      <w:lang w:eastAsia="he-IL"/>
    </w:rPr>
  </w:style>
  <w:style w:type="character" w:customStyle="1" w:styleId="default">
    <w:name w:val="default"/>
    <w:basedOn w:val="a0"/>
    <w:rsid w:val="00DF1A36"/>
    <w:rPr>
      <w:rFonts w:ascii="Times New Roman" w:hAnsi="Times New Roman" w:cs="Times New Roman" w:hint="default"/>
    </w:rPr>
  </w:style>
  <w:style w:type="paragraph" w:customStyle="1" w:styleId="P00">
    <w:name w:val="P00"/>
    <w:basedOn w:val="a"/>
    <w:rsid w:val="00AD3545"/>
    <w:pPr>
      <w:autoSpaceDE w:val="0"/>
      <w:autoSpaceDN w:val="0"/>
      <w:spacing w:before="60"/>
      <w:ind w:left="2835"/>
      <w:jc w:val="both"/>
    </w:pPr>
    <w:rPr>
      <w:rFonts w:eastAsiaTheme="minorHAnsi" w:cs="Times New Roman"/>
      <w:noProof w:val="0"/>
      <w:sz w:val="20"/>
      <w:szCs w:val="20"/>
      <w:lang w:eastAsia="he-IL"/>
    </w:rPr>
  </w:style>
  <w:style w:type="character" w:customStyle="1" w:styleId="big-number">
    <w:name w:val="big-number"/>
    <w:basedOn w:val="a0"/>
    <w:uiPriority w:val="99"/>
    <w:rsid w:val="00AD3545"/>
    <w:rPr>
      <w:rFonts w:ascii="Times New Roman" w:hAnsi="Times New Roman" w:cs="Times New Roman" w:hint="default"/>
      <w:noProof w:val="0"/>
    </w:rPr>
  </w:style>
  <w:style w:type="character" w:customStyle="1" w:styleId="Ruller4">
    <w:name w:val="Ruller4 תו"/>
    <w:link w:val="Ruller40"/>
    <w:locked/>
    <w:rsid w:val="00F313E3"/>
    <w:rPr>
      <w:rFonts w:ascii="Arial TUR" w:hAnsi="Arial TUR" w:cs="FrankRuehl"/>
      <w:spacing w:val="10"/>
      <w:sz w:val="22"/>
      <w:szCs w:val="28"/>
    </w:rPr>
  </w:style>
  <w:style w:type="paragraph" w:customStyle="1" w:styleId="Ruller40">
    <w:name w:val="Ruller4"/>
    <w:basedOn w:val="a"/>
    <w:link w:val="Ruller4"/>
    <w:rsid w:val="00F313E3"/>
    <w:pPr>
      <w:tabs>
        <w:tab w:val="left" w:pos="800"/>
      </w:tabs>
      <w:overflowPunct w:val="0"/>
      <w:autoSpaceDE w:val="0"/>
      <w:autoSpaceDN w:val="0"/>
      <w:adjustRightInd w:val="0"/>
      <w:spacing w:line="360" w:lineRule="auto"/>
      <w:jc w:val="both"/>
    </w:pPr>
    <w:rPr>
      <w:rFonts w:ascii="Arial TUR" w:hAnsi="Arial TUR" w:cs="FrankRuehl"/>
      <w:noProof w:val="0"/>
      <w:spacing w:val="10"/>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411405">
      <w:bodyDiv w:val="1"/>
      <w:marLeft w:val="0"/>
      <w:marRight w:val="0"/>
      <w:marTop w:val="0"/>
      <w:marBottom w:val="0"/>
      <w:divBdr>
        <w:top w:val="none" w:sz="0" w:space="0" w:color="auto"/>
        <w:left w:val="none" w:sz="0" w:space="0" w:color="auto"/>
        <w:bottom w:val="none" w:sz="0" w:space="0" w:color="auto"/>
        <w:right w:val="none" w:sz="0" w:space="0" w:color="auto"/>
      </w:divBdr>
    </w:div>
    <w:div w:id="535846996">
      <w:bodyDiv w:val="1"/>
      <w:marLeft w:val="0"/>
      <w:marRight w:val="0"/>
      <w:marTop w:val="0"/>
      <w:marBottom w:val="0"/>
      <w:divBdr>
        <w:top w:val="none" w:sz="0" w:space="0" w:color="auto"/>
        <w:left w:val="none" w:sz="0" w:space="0" w:color="auto"/>
        <w:bottom w:val="none" w:sz="0" w:space="0" w:color="auto"/>
        <w:right w:val="none" w:sz="0" w:space="0" w:color="auto"/>
      </w:divBdr>
    </w:div>
    <w:div w:id="536743175">
      <w:bodyDiv w:val="1"/>
      <w:marLeft w:val="0"/>
      <w:marRight w:val="0"/>
      <w:marTop w:val="0"/>
      <w:marBottom w:val="0"/>
      <w:divBdr>
        <w:top w:val="none" w:sz="0" w:space="0" w:color="auto"/>
        <w:left w:val="none" w:sz="0" w:space="0" w:color="auto"/>
        <w:bottom w:val="none" w:sz="0" w:space="0" w:color="auto"/>
        <w:right w:val="none" w:sz="0" w:space="0" w:color="auto"/>
      </w:divBdr>
    </w:div>
    <w:div w:id="674306309">
      <w:bodyDiv w:val="1"/>
      <w:marLeft w:val="0"/>
      <w:marRight w:val="0"/>
      <w:marTop w:val="0"/>
      <w:marBottom w:val="0"/>
      <w:divBdr>
        <w:top w:val="none" w:sz="0" w:space="0" w:color="auto"/>
        <w:left w:val="none" w:sz="0" w:space="0" w:color="auto"/>
        <w:bottom w:val="none" w:sz="0" w:space="0" w:color="auto"/>
        <w:right w:val="none" w:sz="0" w:space="0" w:color="auto"/>
      </w:divBdr>
    </w:div>
    <w:div w:id="1215235742">
      <w:bodyDiv w:val="1"/>
      <w:marLeft w:val="0"/>
      <w:marRight w:val="0"/>
      <w:marTop w:val="0"/>
      <w:marBottom w:val="0"/>
      <w:divBdr>
        <w:top w:val="none" w:sz="0" w:space="0" w:color="auto"/>
        <w:left w:val="none" w:sz="0" w:space="0" w:color="auto"/>
        <w:bottom w:val="none" w:sz="0" w:space="0" w:color="auto"/>
        <w:right w:val="none" w:sz="0" w:space="0" w:color="auto"/>
      </w:divBdr>
    </w:div>
    <w:div w:id="1281112861">
      <w:bodyDiv w:val="1"/>
      <w:marLeft w:val="0"/>
      <w:marRight w:val="0"/>
      <w:marTop w:val="0"/>
      <w:marBottom w:val="0"/>
      <w:divBdr>
        <w:top w:val="none" w:sz="0" w:space="0" w:color="auto"/>
        <w:left w:val="none" w:sz="0" w:space="0" w:color="auto"/>
        <w:bottom w:val="none" w:sz="0" w:space="0" w:color="auto"/>
        <w:right w:val="none" w:sz="0" w:space="0" w:color="auto"/>
      </w:divBdr>
    </w:div>
    <w:div w:id="1307122835">
      <w:bodyDiv w:val="1"/>
      <w:marLeft w:val="0"/>
      <w:marRight w:val="0"/>
      <w:marTop w:val="0"/>
      <w:marBottom w:val="0"/>
      <w:divBdr>
        <w:top w:val="none" w:sz="0" w:space="0" w:color="auto"/>
        <w:left w:val="none" w:sz="0" w:space="0" w:color="auto"/>
        <w:bottom w:val="none" w:sz="0" w:space="0" w:color="auto"/>
        <w:right w:val="none" w:sz="0" w:space="0" w:color="auto"/>
      </w:divBdr>
    </w:div>
    <w:div w:id="1310137801">
      <w:bodyDiv w:val="1"/>
      <w:marLeft w:val="0"/>
      <w:marRight w:val="0"/>
      <w:marTop w:val="0"/>
      <w:marBottom w:val="0"/>
      <w:divBdr>
        <w:top w:val="none" w:sz="0" w:space="0" w:color="auto"/>
        <w:left w:val="none" w:sz="0" w:space="0" w:color="auto"/>
        <w:bottom w:val="none" w:sz="0" w:space="0" w:color="auto"/>
        <w:right w:val="none" w:sz="0" w:space="0" w:color="auto"/>
      </w:divBdr>
    </w:div>
    <w:div w:id="1432820806">
      <w:bodyDiv w:val="1"/>
      <w:marLeft w:val="0"/>
      <w:marRight w:val="0"/>
      <w:marTop w:val="0"/>
      <w:marBottom w:val="0"/>
      <w:divBdr>
        <w:top w:val="none" w:sz="0" w:space="0" w:color="auto"/>
        <w:left w:val="none" w:sz="0" w:space="0" w:color="auto"/>
        <w:bottom w:val="none" w:sz="0" w:space="0" w:color="auto"/>
        <w:right w:val="none" w:sz="0" w:space="0" w:color="auto"/>
      </w:divBdr>
    </w:div>
    <w:div w:id="1606378772">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www.nevo.co.il/links/psika/?link=&#1506;&#1488;%202533/01&amp;Pvol=&#1505;&#1488;" TargetMode="External"/><Relationship Id="rId26" Type="http://schemas.openxmlformats.org/officeDocument/2006/relationships/footer" Target="footer1.xml"/><Relationship Id="rId3" Type="http://schemas.openxmlformats.org/officeDocument/2006/relationships/customXml" Target="../customXml/item2.xml"/><Relationship Id="rId21" Type="http://schemas.openxmlformats.org/officeDocument/2006/relationships/hyperlink" Target="http://www.nevo.co.il/law_html/law01/142_002.htm"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www.nevo.co.il/links/psika/?link=&#1506;&#1488;%204628/93&amp;Pvol=&#1502;&#1496;" TargetMode="External"/><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hyperlink" Target="http://www.nevo.co.il/law_html/law01/142_002.htm" TargetMode="External"/><Relationship Id="rId20" Type="http://schemas.openxmlformats.org/officeDocument/2006/relationships/hyperlink" Target="http://www.nevo.co.il/links/psika/?link=&#1506;&#1488;%203894/11" TargetMode="External"/><Relationship Id="rId29"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www.nevo.co.il/case/674250" TargetMode="External"/><Relationship Id="rId23" Type="http://schemas.openxmlformats.org/officeDocument/2006/relationships/image" Target="media/image5.jpg"/><Relationship Id="rId28"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hyperlink" Target="http://www.nevo.co.il/links/psika/?link=&#1512;&#1506;&#1488;%203961/10" TargetMode="External"/><Relationship Id="rId31"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nevo.co.il/case/674250" TargetMode="External"/><Relationship Id="rId22" Type="http://schemas.openxmlformats.org/officeDocument/2006/relationships/hyperlink" Target="http://www.nevo.co.il/law_html/law01/142_002.htm" TargetMode="External"/><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3459962B6984C23A2D5882F7D086C2E"/>
        <w:category>
          <w:name w:val="כללי"/>
          <w:gallery w:val="placeholder"/>
        </w:category>
        <w:types>
          <w:type w:val="bbPlcHdr"/>
        </w:types>
        <w:behaviors>
          <w:behavior w:val="content"/>
        </w:behaviors>
        <w:guid w:val="{5E383C5D-E6B8-4517-AEE2-CFAFB9F0A071}"/>
      </w:docPartPr>
      <w:docPartBody>
        <w:p w:rsidR="00B40AEB" w:rsidRDefault="00CC5512">
          <w:r w:rsidRPr="00C03291">
            <w:rPr>
              <w:rStyle w:val="a3"/>
              <w:rtl/>
            </w:rPr>
            <w:t>סמן</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TUR">
    <w:altName w:val="Arial"/>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Arial">
    <w:panose1 w:val="020B0604020202020204"/>
    <w:charset w:val="00"/>
    <w:family w:val="swiss"/>
    <w:pitch w:val="variable"/>
    <w:sig w:usb0="E0002EFF" w:usb1="C000785B" w:usb2="00000009" w:usb3="00000000" w:csb0="000001FF" w:csb1="00000000"/>
  </w:font>
  <w:font w:name="Miriam">
    <w:panose1 w:val="020B050205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512"/>
    <w:rsid w:val="00200BA6"/>
    <w:rsid w:val="00771945"/>
    <w:rsid w:val="00B40AEB"/>
    <w:rsid w:val="00B52D91"/>
    <w:rsid w:val="00B65812"/>
    <w:rsid w:val="00CC5512"/>
    <w:rsid w:val="00EA7F31"/>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C5512"/>
    <w:pPr>
      <w:bidi/>
    </w:pPr>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71945"/>
    <w:rPr>
      <w:color w:val="808080"/>
    </w:rPr>
  </w:style>
  <w:style w:type="paragraph" w:customStyle="1" w:styleId="5949AF95AEA74B59BE15EEF01C3D9584">
    <w:name w:val="5949AF95AEA74B59BE15EEF01C3D9584"/>
    <w:rsid w:val="00B40AEB"/>
    <w:pPr>
      <w:bidi/>
    </w:pPr>
  </w:style>
  <w:style w:type="paragraph" w:customStyle="1" w:styleId="F543BD6017094ECA8A197FD31D42F9F0">
    <w:name w:val="F543BD6017094ECA8A197FD31D42F9F0"/>
    <w:rsid w:val="00B40AEB"/>
    <w:pPr>
      <w:bidi/>
    </w:pPr>
  </w:style>
  <w:style w:type="paragraph" w:customStyle="1" w:styleId="43830518B23F43CE95EF1FDBFC3F7B6B">
    <w:name w:val="43830518B23F43CE95EF1FDBFC3F7B6B"/>
    <w:rsid w:val="00B40AEB"/>
    <w:pPr>
      <w:bidi/>
    </w:pPr>
  </w:style>
  <w:style w:type="paragraph" w:customStyle="1" w:styleId="D128F3650E61473296914EF9E15A250B">
    <w:name w:val="D128F3650E61473296914EF9E15A250B"/>
    <w:rsid w:val="00B40AEB"/>
    <w:pPr>
      <w:bidi/>
    </w:pPr>
  </w:style>
  <w:style w:type="paragraph" w:customStyle="1" w:styleId="F543BD6017094ECA8A197FD31D42F9F01">
    <w:name w:val="F543BD6017094ECA8A197FD31D42F9F01"/>
    <w:rsid w:val="00B65812"/>
    <w:pPr>
      <w:bidi/>
      <w:spacing w:after="0" w:line="240" w:lineRule="auto"/>
    </w:pPr>
    <w:rPr>
      <w:rFonts w:ascii="Times New Roman" w:eastAsia="Times New Roman" w:hAnsi="Times New Roman" w:cs="David"/>
      <w:noProof/>
      <w:sz w:val="24"/>
      <w:szCs w:val="24"/>
    </w:rPr>
  </w:style>
  <w:style w:type="paragraph" w:customStyle="1" w:styleId="43830518B23F43CE95EF1FDBFC3F7B6B1">
    <w:name w:val="43830518B23F43CE95EF1FDBFC3F7B6B1"/>
    <w:rsid w:val="00B65812"/>
    <w:pPr>
      <w:bidi/>
      <w:spacing w:after="0" w:line="240" w:lineRule="auto"/>
    </w:pPr>
    <w:rPr>
      <w:rFonts w:ascii="Times New Roman" w:eastAsia="Times New Roman" w:hAnsi="Times New Roman" w:cs="David"/>
      <w:noProof/>
      <w:sz w:val="24"/>
      <w:szCs w:val="24"/>
    </w:rPr>
  </w:style>
  <w:style w:type="paragraph" w:customStyle="1" w:styleId="D128F3650E61473296914EF9E15A250B1">
    <w:name w:val="D128F3650E61473296914EF9E15A250B1"/>
    <w:rsid w:val="00B65812"/>
    <w:pPr>
      <w:bidi/>
      <w:spacing w:after="0" w:line="240" w:lineRule="auto"/>
    </w:pPr>
    <w:rPr>
      <w:rFonts w:ascii="Times New Roman" w:eastAsia="Times New Roman" w:hAnsi="Times New Roman" w:cs="David"/>
      <w:noProof/>
      <w:sz w:val="24"/>
      <w:szCs w:val="24"/>
    </w:rPr>
  </w:style>
  <w:style w:type="paragraph" w:customStyle="1" w:styleId="D650C3ADC6E34C929EE3D2B6C6EAD8DA">
    <w:name w:val="D650C3ADC6E34C929EE3D2B6C6EAD8DA"/>
    <w:rsid w:val="00EA7F31"/>
    <w:pPr>
      <w:bidi/>
      <w:spacing w:after="0" w:line="240" w:lineRule="auto"/>
    </w:pPr>
    <w:rPr>
      <w:rFonts w:ascii="Times New Roman" w:eastAsia="Times New Roman" w:hAnsi="Times New Roman" w:cs="David"/>
      <w:noProof/>
      <w:sz w:val="24"/>
      <w:szCs w:val="24"/>
    </w:rPr>
  </w:style>
  <w:style w:type="paragraph" w:customStyle="1" w:styleId="0F98BC5BD65F4E3D9CB241A0552B3109">
    <w:name w:val="0F98BC5BD65F4E3D9CB241A0552B3109"/>
    <w:rsid w:val="00EA7F31"/>
    <w:pPr>
      <w:bidi/>
      <w:spacing w:after="0" w:line="240" w:lineRule="auto"/>
    </w:pPr>
    <w:rPr>
      <w:rFonts w:ascii="Times New Roman" w:eastAsia="Times New Roman" w:hAnsi="Times New Roman" w:cs="David"/>
      <w:noProof/>
      <w:sz w:val="24"/>
      <w:szCs w:val="24"/>
    </w:rPr>
  </w:style>
  <w:style w:type="paragraph" w:customStyle="1" w:styleId="188595C706B84060A65FC27D8AEC282C">
    <w:name w:val="188595C706B84060A65FC27D8AEC282C"/>
    <w:rsid w:val="00EA7F31"/>
    <w:pPr>
      <w:bidi/>
      <w:spacing w:after="0" w:line="240" w:lineRule="auto"/>
    </w:pPr>
    <w:rPr>
      <w:rFonts w:ascii="Times New Roman" w:eastAsia="Times New Roman" w:hAnsi="Times New Roman" w:cs="David"/>
      <w:noProof/>
      <w:sz w:val="24"/>
      <w:szCs w:val="24"/>
    </w:rPr>
  </w:style>
  <w:style w:type="paragraph" w:customStyle="1" w:styleId="4C0CD05467694806A8B4ED31ED85F270">
    <w:name w:val="4C0CD05467694806A8B4ED31ED85F270"/>
    <w:rsid w:val="00EA7F31"/>
    <w:pPr>
      <w:bidi/>
      <w:spacing w:after="0" w:line="240" w:lineRule="auto"/>
    </w:pPr>
    <w:rPr>
      <w:rFonts w:ascii="Times New Roman" w:eastAsia="Times New Roman" w:hAnsi="Times New Roman" w:cs="David"/>
      <w:noProof/>
      <w:sz w:val="24"/>
      <w:szCs w:val="24"/>
    </w:rPr>
  </w:style>
  <w:style w:type="paragraph" w:customStyle="1" w:styleId="F543BD6017094ECA8A197FD31D42F9F02">
    <w:name w:val="F543BD6017094ECA8A197FD31D42F9F02"/>
    <w:rsid w:val="00EA7F31"/>
    <w:pPr>
      <w:bidi/>
      <w:spacing w:after="0" w:line="240" w:lineRule="auto"/>
    </w:pPr>
    <w:rPr>
      <w:rFonts w:ascii="Times New Roman" w:eastAsia="Times New Roman" w:hAnsi="Times New Roman" w:cs="David"/>
      <w:noProof/>
      <w:sz w:val="24"/>
      <w:szCs w:val="24"/>
    </w:rPr>
  </w:style>
  <w:style w:type="paragraph" w:customStyle="1" w:styleId="43830518B23F43CE95EF1FDBFC3F7B6B2">
    <w:name w:val="43830518B23F43CE95EF1FDBFC3F7B6B2"/>
    <w:rsid w:val="00EA7F31"/>
    <w:pPr>
      <w:bidi/>
      <w:spacing w:after="0" w:line="240" w:lineRule="auto"/>
    </w:pPr>
    <w:rPr>
      <w:rFonts w:ascii="Times New Roman" w:eastAsia="Times New Roman" w:hAnsi="Times New Roman" w:cs="David"/>
      <w:noProof/>
      <w:sz w:val="24"/>
      <w:szCs w:val="24"/>
    </w:rPr>
  </w:style>
  <w:style w:type="paragraph" w:customStyle="1" w:styleId="D128F3650E61473296914EF9E15A250B2">
    <w:name w:val="D128F3650E61473296914EF9E15A250B2"/>
    <w:rsid w:val="00EA7F31"/>
    <w:pPr>
      <w:bidi/>
      <w:spacing w:after="0" w:line="240" w:lineRule="auto"/>
    </w:pPr>
    <w:rPr>
      <w:rFonts w:ascii="Times New Roman" w:eastAsia="Times New Roman" w:hAnsi="Times New Roman" w:cs="David"/>
      <w:noProof/>
      <w:sz w:val="24"/>
      <w:szCs w:val="24"/>
    </w:rPr>
  </w:style>
  <w:style w:type="paragraph" w:customStyle="1" w:styleId="D650C3ADC6E34C929EE3D2B6C6EAD8DA1">
    <w:name w:val="D650C3ADC6E34C929EE3D2B6C6EAD8DA1"/>
    <w:rsid w:val="00200BA6"/>
    <w:pPr>
      <w:bidi/>
      <w:spacing w:after="0" w:line="240" w:lineRule="auto"/>
    </w:pPr>
    <w:rPr>
      <w:rFonts w:ascii="Times New Roman" w:eastAsia="Times New Roman" w:hAnsi="Times New Roman" w:cs="David"/>
      <w:noProof/>
      <w:sz w:val="24"/>
      <w:szCs w:val="24"/>
    </w:rPr>
  </w:style>
  <w:style w:type="paragraph" w:customStyle="1" w:styleId="0F98BC5BD65F4E3D9CB241A0552B31091">
    <w:name w:val="0F98BC5BD65F4E3D9CB241A0552B31091"/>
    <w:rsid w:val="00200BA6"/>
    <w:pPr>
      <w:bidi/>
      <w:spacing w:after="0" w:line="240" w:lineRule="auto"/>
    </w:pPr>
    <w:rPr>
      <w:rFonts w:ascii="Times New Roman" w:eastAsia="Times New Roman" w:hAnsi="Times New Roman" w:cs="David"/>
      <w:noProof/>
      <w:sz w:val="24"/>
      <w:szCs w:val="24"/>
    </w:rPr>
  </w:style>
  <w:style w:type="paragraph" w:customStyle="1" w:styleId="188595C706B84060A65FC27D8AEC282C1">
    <w:name w:val="188595C706B84060A65FC27D8AEC282C1"/>
    <w:rsid w:val="00200BA6"/>
    <w:pPr>
      <w:bidi/>
      <w:spacing w:after="0" w:line="240" w:lineRule="auto"/>
    </w:pPr>
    <w:rPr>
      <w:rFonts w:ascii="Times New Roman" w:eastAsia="Times New Roman" w:hAnsi="Times New Roman" w:cs="David"/>
      <w:noProof/>
      <w:sz w:val="24"/>
      <w:szCs w:val="24"/>
    </w:rPr>
  </w:style>
  <w:style w:type="paragraph" w:customStyle="1" w:styleId="4C0CD05467694806A8B4ED31ED85F2701">
    <w:name w:val="4C0CD05467694806A8B4ED31ED85F2701"/>
    <w:rsid w:val="00200BA6"/>
    <w:pPr>
      <w:bidi/>
      <w:spacing w:after="0" w:line="240" w:lineRule="auto"/>
    </w:pPr>
    <w:rPr>
      <w:rFonts w:ascii="Times New Roman" w:eastAsia="Times New Roman" w:hAnsi="Times New Roman" w:cs="David"/>
      <w:noProof/>
      <w:sz w:val="24"/>
      <w:szCs w:val="24"/>
    </w:rPr>
  </w:style>
  <w:style w:type="paragraph" w:customStyle="1" w:styleId="F543BD6017094ECA8A197FD31D42F9F03">
    <w:name w:val="F543BD6017094ECA8A197FD31D42F9F03"/>
    <w:rsid w:val="00200BA6"/>
    <w:pPr>
      <w:bidi/>
      <w:spacing w:after="0" w:line="240" w:lineRule="auto"/>
    </w:pPr>
    <w:rPr>
      <w:rFonts w:ascii="Times New Roman" w:eastAsia="Times New Roman" w:hAnsi="Times New Roman" w:cs="David"/>
      <w:noProof/>
      <w:sz w:val="24"/>
      <w:szCs w:val="24"/>
    </w:rPr>
  </w:style>
  <w:style w:type="paragraph" w:customStyle="1" w:styleId="43830518B23F43CE95EF1FDBFC3F7B6B3">
    <w:name w:val="43830518B23F43CE95EF1FDBFC3F7B6B3"/>
    <w:rsid w:val="00200BA6"/>
    <w:pPr>
      <w:bidi/>
      <w:spacing w:after="0" w:line="240" w:lineRule="auto"/>
    </w:pPr>
    <w:rPr>
      <w:rFonts w:ascii="Times New Roman" w:eastAsia="Times New Roman" w:hAnsi="Times New Roman" w:cs="David"/>
      <w:noProof/>
      <w:sz w:val="24"/>
      <w:szCs w:val="24"/>
    </w:rPr>
  </w:style>
  <w:style w:type="paragraph" w:customStyle="1" w:styleId="D128F3650E61473296914EF9E15A250B3">
    <w:name w:val="D128F3650E61473296914EF9E15A250B3"/>
    <w:rsid w:val="00200BA6"/>
    <w:pPr>
      <w:bidi/>
      <w:spacing w:after="0" w:line="240" w:lineRule="auto"/>
    </w:pPr>
    <w:rPr>
      <w:rFonts w:ascii="Times New Roman" w:eastAsia="Times New Roman" w:hAnsi="Times New Roman" w:cs="David"/>
      <w:noProof/>
      <w:sz w:val="24"/>
      <w:szCs w:val="24"/>
    </w:rPr>
  </w:style>
  <w:style w:type="paragraph" w:customStyle="1" w:styleId="D650C3ADC6E34C929EE3D2B6C6EAD8DA2">
    <w:name w:val="D650C3ADC6E34C929EE3D2B6C6EAD8DA2"/>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2">
    <w:name w:val="0F98BC5BD65F4E3D9CB241A0552B31092"/>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2">
    <w:name w:val="188595C706B84060A65FC27D8AEC282C2"/>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2">
    <w:name w:val="4C0CD05467694806A8B4ED31ED85F2702"/>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4">
    <w:name w:val="F543BD6017094ECA8A197FD31D42F9F04"/>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4">
    <w:name w:val="43830518B23F43CE95EF1FDBFC3F7B6B4"/>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4">
    <w:name w:val="D128F3650E61473296914EF9E15A250B4"/>
    <w:rsid w:val="00771945"/>
    <w:pPr>
      <w:bidi/>
      <w:spacing w:after="0" w:line="240" w:lineRule="auto"/>
    </w:pPr>
    <w:rPr>
      <w:rFonts w:ascii="Times New Roman" w:eastAsia="Times New Roman" w:hAnsi="Times New Roman" w:cs="David"/>
      <w:noProof/>
      <w:sz w:val="24"/>
      <w:szCs w:val="24"/>
    </w:rPr>
  </w:style>
  <w:style w:type="paragraph" w:customStyle="1" w:styleId="D650C3ADC6E34C929EE3D2B6C6EAD8DA3">
    <w:name w:val="D650C3ADC6E34C929EE3D2B6C6EAD8DA3"/>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3">
    <w:name w:val="0F98BC5BD65F4E3D9CB241A0552B31093"/>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3">
    <w:name w:val="188595C706B84060A65FC27D8AEC282C3"/>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3">
    <w:name w:val="4C0CD05467694806A8B4ED31ED85F2703"/>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5">
    <w:name w:val="F543BD6017094ECA8A197FD31D42F9F05"/>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5">
    <w:name w:val="43830518B23F43CE95EF1FDBFC3F7B6B5"/>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5">
    <w:name w:val="D128F3650E61473296914EF9E15A250B5"/>
    <w:rsid w:val="00771945"/>
    <w:pPr>
      <w:bidi/>
      <w:spacing w:after="0" w:line="240" w:lineRule="auto"/>
    </w:pPr>
    <w:rPr>
      <w:rFonts w:ascii="Times New Roman" w:eastAsia="Times New Roman" w:hAnsi="Times New Roman" w:cs="David"/>
      <w:noProof/>
      <w:sz w:val="24"/>
      <w:szCs w:val="24"/>
    </w:rPr>
  </w:style>
  <w:style w:type="paragraph" w:customStyle="1" w:styleId="D650C3ADC6E34C929EE3D2B6C6EAD8DA4">
    <w:name w:val="D650C3ADC6E34C929EE3D2B6C6EAD8DA4"/>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4">
    <w:name w:val="0F98BC5BD65F4E3D9CB241A0552B31094"/>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4">
    <w:name w:val="188595C706B84060A65FC27D8AEC282C4"/>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4">
    <w:name w:val="4C0CD05467694806A8B4ED31ED85F2704"/>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6">
    <w:name w:val="F543BD6017094ECA8A197FD31D42F9F06"/>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6">
    <w:name w:val="43830518B23F43CE95EF1FDBFC3F7B6B6"/>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6">
    <w:name w:val="D128F3650E61473296914EF9E15A250B6"/>
    <w:rsid w:val="00771945"/>
    <w:pPr>
      <w:bidi/>
      <w:spacing w:after="0" w:line="240" w:lineRule="auto"/>
    </w:pPr>
    <w:rPr>
      <w:rFonts w:ascii="Times New Roman" w:eastAsia="Times New Roman" w:hAnsi="Times New Roman" w:cs="David"/>
      <w:noProof/>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iesSelectionDS>
      <CaseParties>
        <PartyTypeName>מומחה</PartyTypeName>
        <ProceedingType>בית משפט</ProceedingType>
        <PleaName>כתב תביעה</PleaName>
        <PartyBelonging> - </PartyBelonging>
        <RoleName>מומחה בית משפט </RoleName>
        <IsSubProceeding>FALSE</IsSubProceeding>
        <FullName>דניאל גוטליב</FullName>
        <FirstName>דניאל</FirstName>
        <LastName>גוטליב</LastName>
        <PartyPropertyName/>
        <AuthenticationTypeAndNumber>ת"ז 015865694</AuthenticationTypeAndNumber>
        <RepresentatedOrRepresentativesNames/>
        <RepresentatedOrRepresentativesCount>0</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269267288</CasePartyID>
        <PartyTypeID>5</PartyTypeID>
        <ActivityStatusID>1</ActivityStatusID>
        <PartyAliasID>102</PartyAliasID>
        <PartyAliasName>מומחה בית משפט</PartyAliasName>
        <LegalEntityID>69977556</LegalEntityID>
        <CaseLegalEntityID>128609154</CaseLegalEntityID>
        <AuthenticationTypeID>1</AuthenticationTypeID>
        <AuthenticationTypeName>ת"ז</AuthenticationTypeName>
        <LegalEntityNumber>015865694</LegalEntityNumber>
        <IsMainPartyType>true</IsMainPartyType>
        <CaseDisplayIdentifier>55773-03-24</CaseDisplayIdentifier>
        <CaseTypeID>15</CaseTypeID>
        <CaseTypeName>תיק משפחה (תמ"ש)</CaseTypeName>
        <CaseName>אלגרנטי נ' אלגרנטי פרן ואח'</CaseName>
        <FullAddress>קיבוץ גליל ים גליל ים הרצליה</FullAddress>
        <EmailAddress>shinui@machonshinui.co.il</EmailAddress>
        <MotionID>0</MotionID>
        <CasePleaID>0</CasePleaID>
        <FatherName xml:space="preserve">        </FatherName>
        <LinkedCaseID>0</LinkedCaseID>
        <CasePartyCategoryID>1</CasePartyCategoryID>
        <LegalEntityAddressID>70849724</LegalEntityAddressID>
        <LegalEntityEmailAddressID>68377715</LegalEntityEmailAddressID>
        <PleaTypeID>4</PleaTypeID>
        <GroupPartyAlias/>
        <IsConverted>false</IsConverted>
        <LegalEntityNameID>72260868</LegalEntityNameID>
        <RepresentatedNamesOfAssistant/>
        <LegalEntityTypeID>6</LegalEntityTypeID>
        <IsVerdictExists>false</IsVerdictExists>
        <IsAsirAzir>false</IsAsirAzir>
        <MainAndSecSpec/>
        <IsPublicationProhibited>false</IsPublicationProhibited>
        <PublicationProhibitedFullName>דניאל גוטליב</PublicationProhibitedFullName>
      </CaseParties>
      <CaseParties>
        <PartyTypeName>מסייע</PartyTypeName>
        <ProceedingType>כתב טענות עיקרי</ProceedingType>
        <PleaName>כתב תביעה</PleaName>
        <PartyBelonging> - </PartyBelonging>
        <RoleName>מסייע ללא מיוצגים וסניגוריה ציבורית </RoleName>
        <IsSubProceeding>FALSE</IsSubProceeding>
        <FullName>הסיוע המשפטי - מחוז חיפה</FullName>
        <LastName>הסיוע המשפטי - מחוז חיפה</LastName>
        <PartyPropertyName/>
        <AuthenticationTypeAndNumber>משרדי ממשלה 513442022</AuthenticationTypeAndNumber>
        <RepresentatedOrRepresentativesNames/>
        <RepresentatedOrRepresentativesCount>0</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268559719</CasePartyID>
        <PartyTypeID>3</PartyTypeID>
        <ActivityStatusID>1</ActivityStatusID>
        <LegalEntityID>7537325</LegalEntityID>
        <CaseLegalEntityID>128402596</CaseLegalEntityID>
        <AssistantRoleID>26</AssistantRoleID>
        <AuthenticationTypeID>13</AuthenticationTypeID>
        <AuthenticationTypeName>משרדי ממשלה</AuthenticationTypeName>
        <LegalEntityNumber>513442022</LegalEntityNumber>
        <IsMainPartyType>true</IsMainPartyType>
        <CaseDisplayIdentifier>55773-03-24</CaseDisplayIdentifier>
        <CaseTypeID>15</CaseTypeID>
        <CaseTypeName>תיק משפחה (תמ"ש)</CaseTypeName>
        <CaseName>אלגרנטי נ' אלגרנטי פרן ואח'</CaseName>
        <FullAddress>שד' פל ים 15 א' חיפה </FullAddress>
        <MotionID>0</MotionID>
        <CasePleaID>0</CasePleaID>
        <LinkedCaseID>0</LinkedCaseID>
        <PartyID>1</PartyID>
        <CasePartyCategoryID>2</CasePartyCategoryID>
        <LegalEntityAddressID>7578509</LegalEntityAddressID>
        <PleaTypeID>4</PleaTypeID>
        <GroupPartyAlias/>
        <IsConverted>false</IsConverted>
        <LegalEntityRegisteredNameID>6018545</LegalEntityRegisteredNameID>
        <RepresentatedNamesOfAssistant/>
        <LegalEntityTypeID>3</LegalEntityTypeID>
        <IsVerdictExists>false</IsVerdictExists>
        <IsAsirAzir>false</IsAsirAzir>
        <MainAndSecSpec/>
        <IsPublicationProhibited>false</IsPublicationProhibited>
        <PublicationProhibitedFullName>הסיוע המשפטי - מחוז חיפה</PublicationProhibitedFullName>
      </CaseParties>
      <CaseParties>
        <PartyTypeName>מסייע</PartyTypeName>
        <ProceedingType>כתב טענות עיקרי</ProceedingType>
        <PleaName>כתב תביעה</PleaName>
        <PartyBelonging> - </PartyBelonging>
        <RoleName>יחידת סיוע</RoleName>
        <IsSubProceeding>FALSE</IsSubProceeding>
        <FullName>יחידת סיוע שליד בימ"ש לענייני משפחה חיפה</FullName>
        <LastName>יחידת סיוע שליד בימ"ש לענייני משפחה חיפה</LastName>
        <PartyPropertyName/>
        <AuthenticationTypeAndNumber>משרדי ממשלה 570001566</AuthenticationTypeAndNumber>
        <RepresentatedOrRepresentativesNames/>
        <RepresentatedOrRepresentativesCount>0</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268569405</CasePartyID>
        <PartyTypeID>3</PartyTypeID>
        <ActivityStatusID>1</ActivityStatusID>
        <LegalEntityID>70172786</LegalEntityID>
        <CaseLegalEntityID>128405517</CaseLegalEntityID>
        <AssistantRoleID>8</AssistantRoleID>
        <AuthenticationTypeID>13</AuthenticationTypeID>
        <AuthenticationTypeName>משרדי ממשלה</AuthenticationTypeName>
        <LegalEntityNumber>570001566</LegalEntityNumber>
        <IsMainPartyType>true</IsMainPartyType>
        <CaseDisplayIdentifier>55773-03-24</CaseDisplayIdentifier>
        <CaseTypeID>15</CaseTypeID>
        <CaseTypeName>תיק משפחה (תמ"ש)</CaseTypeName>
        <CaseName>אלגרנטי נ' אלגרנטי פרן ואח'</CaseName>
        <FullAddress>פל ים 7 חיפה </FullAddress>
        <MotionID>0</MotionID>
        <CasePleaID>0</CasePleaID>
        <LinkedCaseID>0</LinkedCaseID>
        <PartyID>1</PartyID>
        <CasePartyCategoryID>2</CasePartyCategoryID>
        <LegalEntityAddressID>78793379</LegalEntityAddressID>
        <PleaTypeID>4</PleaTypeID>
        <GroupPartyAlias/>
        <IsConverted>false</IsConverted>
        <LegalEntityRegisteredNameID>2511776</LegalEntityRegisteredNameID>
        <RepresentatedNamesOfAssistant/>
        <LegalEntityTypeID>3</LegalEntityTypeID>
        <IsVerdictExists>false</IsVerdictExists>
        <IsAsirAzir>false</IsAsirAzir>
        <MainAndSecSpec/>
        <IsPublicationProhibited>false</IsPublicationProhibited>
        <PublicationProhibitedFullName>יחידת סיוע שליד בימ"ש לענייני משפחה חיפה</PublicationProhibitedFullName>
      </CaseParties>
      <CaseParties>
        <PartyTypeName>בא כוח</PartyTypeName>
        <ProceedingType>כתב טענות עיקרי</ProceedingType>
        <PleaName>כתב תביעה</PleaName>
        <PartyBelonging> - </PartyBelonging>
        <RoleName>בא כוח מסייעים</RoleName>
        <IsSubProceeding>FALSE</IsSubProceeding>
        <FullName>נסרין אעלימי</FullName>
        <FirstName>נסרין</FirstName>
        <LastName>אעלימי</LastName>
        <PartyPropertyName/>
        <AuthenticationTypeAndNumber>מ.ר. 28920</AuthenticationTypeAndNumber>
        <RepresentatedOrRepresentativesNames>אגם אלגרנטי, פלג אלגרנטי</RepresentatedOrRepresentativesNames>
        <RepresentatedOrRepresentativesCount>2</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268664338</CasePartyID>
        <PartyTypeID>2</PartyTypeID>
        <ActivityStatusID>1</ActivityStatusID>
        <PartyAliasID>105</PartyAliasID>
        <PartyAliasName>בא כוח מסייעים</PartyAliasName>
        <LegalEntityID>403895</LegalEntityID>
        <CaseLegalEntityID>128433984</CaseLegalEntityID>
        <AuthenticationTypeID>4</AuthenticationTypeID>
        <AuthenticationTypeName>מ.ר.</AuthenticationTypeName>
        <LegalEntityNumber>28920</LegalEntityNumber>
        <IsMainPartyType>true</IsMainPartyType>
        <CaseDisplayIdentifier>55773-03-24</CaseDisplayIdentifier>
        <CaseTypeID>15</CaseTypeID>
        <CaseTypeName>תיק משפחה (תמ"ש)</CaseTypeName>
        <CaseName>אלגרנטי נ' אלגרנטי פרן ואח'</CaseName>
        <FullAddress>כפר קרע כפר קרע </FullAddress>
        <EmailAddress>ak.nasreen@gmail.com</EmailAddress>
        <MotionID>0</MotionID>
        <CasePleaID>0</CasePleaID>
        <FatherName xml:space="preserve">        </FatherName>
        <LinkedCaseID>0</LinkedCaseID>
        <PartyID>1</PartyID>
        <CasePartyCategoryID>2</CasePartyCategoryID>
        <LegalEntityAddressID>83833754</LegalEntityAddressID>
        <LegalEntityEmailAddressID>67978376</LegalEntityEmailAddressID>
        <PleaTypeID>4</PleaTypeID>
        <LawyerOfficeName>משרד עו"ד: נסרין אעלימי</LawyerOfficeName>
        <LawyerOfficeID>444539</LawyerOfficeID>
        <GroupPartyAlias/>
        <IsConverted>false</IsConverted>
        <LegalEntityNameID>24879</LegalEntityNameID>
        <RepresentatedNamesOfAssistant/>
        <LegalEntityTypeID>4</LegalEntityTypeID>
        <IsVerdictExists>false</IsVerdictExists>
        <IsAsirAzir>false</IsAsirAzir>
        <MainAndSecSpec/>
        <IsPublicationProhibited>false</IsPublicationProhibited>
        <PublicationProhibitedFullName>נסרין אעלימי</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איריס שינפלד</FullName>
        <FirstName>איריס</FirstName>
        <LastName>שינפלד</LastName>
        <PartyPropertyName/>
        <AuthenticationTypeAndNumber>מ.ר. 28762</AuthenticationTypeAndNumber>
        <RepresentatedOrRepresentativesNames>ליאת אלגרנטי פרן</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268631641</CasePartyID>
        <PartyTypeID>2</PartyTypeID>
        <ActivityStatusID>1</ActivityStatusID>
        <PartyAliasID>21</PartyAliasID>
        <PartyAliasName>בא כוח נתבעים</PartyAliasName>
        <LegalEntityID>406771</LegalEntityID>
        <CaseLegalEntityID>128423424</CaseLegalEntityID>
        <AuthenticationTypeID>4</AuthenticationTypeID>
        <AuthenticationTypeName>מ.ר.</AuthenticationTypeName>
        <LegalEntityNumber>28762</LegalEntityNumber>
        <IsMainPartyType>true</IsMainPartyType>
        <CaseDisplayIdentifier>55773-03-24</CaseDisplayIdentifier>
        <CaseTypeID>15</CaseTypeID>
        <CaseTypeName>תיק משפחה (תמ"ש)</CaseTypeName>
        <CaseName>אלגרנטי נ' אלגרנטי פרן ואח'</CaseName>
        <FullAddress>החשמונאים 90 תל אביב -יפו ת.ד 20276</FullAddress>
        <EmailAddress>iris@is-law.co.il</EmailAddress>
        <MotionID>0</MotionID>
        <CasePleaID>0</CasePleaID>
        <LinkedCaseID>0</LinkedCaseID>
        <PartyID>2</PartyID>
        <CasePartyCategoryID>2</CasePartyCategoryID>
        <LegalEntityAddressID>449753</LegalEntityAddressID>
        <LegalEntityEmailAddressID>67840345</LegalEntityEmailAddressID>
        <PleaTypeID>4</PleaTypeID>
        <LawyerOfficeName>משרד עו"ד: איריס שינפלד</LawyerOfficeName>
        <LawyerOfficeID>447415</LawyerOfficeID>
        <GroupPartyAlias/>
        <IsConverted>false</IsConverted>
        <LegalEntityNameID>27755</LegalEntityNameID>
        <RepresentatedNamesOfAssistant/>
        <LegalEntityTypeID>4</LegalEntityTypeID>
        <IsVerdictExists>false</IsVerdictExists>
        <IsAsirAzir>false</IsAsirAzir>
        <MainAndSecSpec/>
        <IsPublicationProhibited>false</IsPublicationProhibited>
        <PublicationProhibitedFullName>איריס שינפלד</PublicationProhibitedFullName>
      </CaseParties>
      <CaseParties>
        <PartyTypeName>מסייע</PartyTypeName>
        <ProceedingType>כתב טענות עיקרי</ProceedingType>
        <PleaName>כתב תביעה</PleaName>
        <PartyBelonging> - </PartyBelonging>
        <RoleName>הרשות המרכזית-המחלקה ליחסים בינלאומיים, פרקליטות המדינה</RoleName>
        <IsSubProceeding>FALSE</IsSubProceeding>
        <FullName>פרקליטות המדינה, המחלקה ליחסים בינלאומיים</FullName>
        <LastName>פרקליטות המדינה, המחלקה ליחסים בינלאומיים</LastName>
        <PartyPropertyName/>
        <AuthenticationTypeAndNumber>משרדי ממשלה 570000883</AuthenticationTypeAndNumber>
        <RepresentatedOrRepresentativesNames/>
        <RepresentatedOrRepresentativesCount>0</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268112879</CasePartyID>
        <PartyTypeID>3</PartyTypeID>
        <ActivityStatusID>1</ActivityStatusID>
        <OrdinalNumber>1</OrdinalNumber>
        <LegalEntityID>33199120</LegalEntityID>
        <CaseLegalEntityID>128276987</CaseLegalEntityID>
        <AssistantRoleID>20</AssistantRoleID>
        <AuthenticationTypeID>13</AuthenticationTypeID>
        <AuthenticationTypeName>משרדי ממשלה</AuthenticationTypeName>
        <LegalEntityNumber>570000883</LegalEntityNumber>
        <IsMainPartyType>true</IsMainPartyType>
        <CaseDisplayIdentifier>55773-03-24</CaseDisplayIdentifier>
        <CaseTypeID>15</CaseTypeID>
        <CaseTypeName>תיק משפחה (תמ"ש)</CaseTypeName>
        <CaseName>אלגרנטי נ' אלגרנטי פרן ואח'</CaseName>
        <FullAddress>מחל 7 ירושלים שכונת מעלות דפנה</FullAddress>
        <MotionID>0</MotionID>
        <CasePleaID>0</CasePleaID>
        <LinkedCaseID>0</LinkedCaseID>
        <CasePartyCategoryID>2</CasePartyCategoryID>
        <LegalEntityAddressID>33671559</LegalEntityAddressID>
        <PleaTypeID>4</PleaTypeID>
        <GroupPartyAlias/>
        <IsConverted>false</IsConverted>
        <LegalEntityRegisteredNameID>3571923</LegalEntityRegisteredNameID>
        <RepresentatedNamesOfAssistant/>
        <LegalEntityTypeID>3</LegalEntityTypeID>
        <IsVerdictExists>false</IsVerdictExists>
        <IsAsirAzir>false</IsAsirAzir>
        <MainAndSecSpec/>
        <IsPublicationProhibited>false</IsPublicationProhibited>
        <PublicationProhibitedFullName>פרקליטות המדינה, המחלקה ליחסים בינלאומיים</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אמיר קוזקוב</FullName>
        <FirstName>אמיר</FirstName>
        <LastName>קוזקוב</LastName>
        <PartyPropertyName/>
        <AuthenticationTypeAndNumber>מ.ר. 36675</AuthenticationTypeAndNumber>
        <RepresentatedOrRepresentativesNames>אלי אלגרנטי</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268112881</CasePartyID>
        <PartyTypeID>2</PartyTypeID>
        <ActivityStatusID>1</ActivityStatusID>
        <PartyAliasID>20</PartyAliasID>
        <PartyAliasName>בא כוח תובעים</PartyAliasName>
        <OrdinalNumber>1</OrdinalNumber>
        <LegalEntityID>409688</LegalEntityID>
        <CaseLegalEntityID>128276989</CaseLegalEntityID>
        <AuthenticationTypeID>4</AuthenticationTypeID>
        <AuthenticationTypeName>מ.ר.</AuthenticationTypeName>
        <LegalEntityNumber>36675</LegalEntityNumber>
        <IsMainPartyType>true</IsMainPartyType>
        <CaseDisplayIdentifier>55773-03-24</CaseDisplayIdentifier>
        <CaseTypeID>15</CaseTypeID>
        <CaseTypeName>תיק משפחה (תמ"ש)</CaseTypeName>
        <CaseName>אלגרנטי נ' אלגרנטי פרן ואח'</CaseName>
        <FullAddress>רוטשילד 45 ראשון לציון </FullAddress>
        <EmailAddress>info@cwl.co.il</EmailAddress>
        <MotionID>0</MotionID>
        <CasePleaID>0</CasePleaID>
        <FatherName xml:space="preserve">        </FatherName>
        <LinkedCaseID>0</LinkedCaseID>
        <PartyID>1</PartyID>
        <CasePartyCategoryID>2</CasePartyCategoryID>
        <LegalEntityAddressID>70610097</LegalEntityAddressID>
        <LegalEntityEmailAddressID>68265682</LegalEntityEmailAddressID>
        <PleaTypeID>4</PleaTypeID>
        <LawyerOfficeName>משרד עו"ד: קוזקוב, ווינקלר</LawyerOfficeName>
        <LawyerOfficeID>455015</LawyerOfficeID>
        <GroupPartyAlias/>
        <IsConverted>false</IsConverted>
        <LegalEntityNameID>30672</LegalEntityNameID>
        <RepresentatedNamesOfAssistant/>
        <LegalEntityTypeID>4</LegalEntityTypeID>
        <IsVerdictExists>false</IsVerdictExists>
        <IsAsirAzir>false</IsAsirAzir>
        <MainAndSecSpec/>
        <IsPublicationProhibited>false</IsPublicationProhibited>
        <PublicationProhibitedFullName>אמיר קוזקוב</PublicationProhibitedFullName>
      </CaseParties>
      <CaseParties>
        <PartyTypeName>צד</PartyTypeName>
        <ProceedingType>כתב טענות עיקרי</ProceedingType>
        <PleaName>כתב תביעה</PleaName>
        <PartyBelonging>צד א'</PartyBelonging>
        <RoleName>תובע 1</RoleName>
        <IsSubProceeding>FALSE</IsSubProceeding>
        <FullName>אלי אלגרנטי</FullName>
        <FirstName>אלי</FirstName>
        <LastName>אלגרנטי</LastName>
        <PartyPropertyName/>
        <AuthenticationTypeAndNumber>דרכון PA8170703</AuthenticationTypeAndNumber>
        <RepresentatedOrRepresentativesNames>אמיר קוזקוב</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268112880</CasePartyID>
        <PartyTypeID>1</PartyTypeID>
        <ActivityStatusID>1</ActivityStatusID>
        <PartyAliasID>1</PartyAliasID>
        <PartyAliasName>תובע</PartyAliasName>
        <OrdinalNumber>1</OrdinalNumber>
        <LegalEntityID>81811866</LegalEntityID>
        <CaseLegalEntityID>128276988</CaseLegalEntityID>
        <AuthenticationTypeID>2</AuthenticationTypeID>
        <AuthenticationTypeName>דרכון</AuthenticationTypeName>
        <LegalEntityNumber>PA8170703</LegalEntityNumber>
        <IsMainPartyType>true</IsMainPartyType>
        <CaseDisplayIdentifier>55773-03-24</CaseDisplayIdentifier>
        <CaseTypeID>15</CaseTypeID>
        <CaseTypeName>תיק משפחה (תמ"ש)</CaseTypeName>
        <CaseName>אלגרנטי נ' אלגרנטי פרן ואח'</CaseName>
        <FullAddress/>
        <MotionID>0</MotionID>
        <CasePleaID>0</CasePleaID>
        <PassportCountryID>860</PassportCountryID>
        <LinkedCaseID>0</LinkedCaseID>
        <PartyID>1</PartyID>
        <CasePartyCategoryID>2</CasePartyCategoryID>
        <PleaTypeID>4</PleaTypeID>
        <GroupPartyAlias>תובעים</GroupPartyAlias>
        <IsConverted>false</IsConverted>
        <LegalEntityNameID>96342148</LegalEntityNameID>
        <RepresentatedNamesOfAssistant/>
        <LegalEntityTypeID>2</LegalEntityTypeID>
        <IsVerdictExists>false</IsVerdictExists>
        <IsAsirAzir>false</IsAsirAzir>
        <MainAndSecSpec/>
        <IsPublicationProhibited>false</IsPublicationProhibited>
        <PublicationProhibitedFullName>אלי אלגרנטי</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ליאת אלגרנטי פרן</FullName>
        <FirstName>ליאת</FirstName>
        <LastName>אלגרנטי פרן</LastName>
        <PartyPropertyName/>
        <AuthenticationTypeAndNumber>דרכון PA8170673</AuthenticationTypeAndNumber>
        <RepresentatedOrRepresentativesNames>איריס שינפלד</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268112882</CasePartyID>
        <PartyTypeID>1</PartyTypeID>
        <ActivityStatusID>1</ActivityStatusID>
        <PartyAliasID>2</PartyAliasID>
        <PartyAliasName>נתבע</PartyAliasName>
        <OrdinalNumber>1</OrdinalNumber>
        <LegalEntityID>81811867</LegalEntityID>
        <CaseLegalEntityID>128276990</CaseLegalEntityID>
        <AuthenticationTypeID>2</AuthenticationTypeID>
        <AuthenticationTypeName>דרכון</AuthenticationTypeName>
        <LegalEntityNumber>PA8170673</LegalEntityNumber>
        <IsMainPartyType>true</IsMainPartyType>
        <CaseDisplayIdentifier>55773-03-24</CaseDisplayIdentifier>
        <CaseTypeID>15</CaseTypeID>
        <CaseTypeName>תיק משפחה (תמ"ש)</CaseTypeName>
        <CaseName>אלגרנטי נ' אלגרנטי פרן ואח'</CaseName>
        <FullAddress>אנה פרנק 6 דירה 22 זכרון יעקב </FullAddress>
        <MotionID>0</MotionID>
        <CasePleaID>0</CasePleaID>
        <PassportCountryID>860</PassportCountryID>
        <LinkedCaseID>0</LinkedCaseID>
        <PartyID>2</PartyID>
        <CasePartyCategoryID>2</CasePartyCategoryID>
        <LegalEntityAddressID>89117177</LegalEntityAddressID>
        <PleaTypeID>4</PleaTypeID>
        <GroupPartyAlias>נתבעים</GroupPartyAlias>
        <IsConverted>false</IsConverted>
        <LegalEntityNameID>96342149</LegalEntityNameID>
        <RepresentatedNamesOfAssistant/>
        <LegalEntityTypeID>2</LegalEntityTypeID>
        <IsVerdictExists>false</IsVerdictExists>
        <IsAsirAzir>false</IsAsirAzir>
        <MainAndSecSpec/>
        <IsPublicationProhibited>false</IsPublicationProhibited>
        <PublicationProhibitedFullName>ליאת אלגרנטי פרן</PublicationProhibitedFullName>
      </CaseParties>
      <CaseParties>
        <PartyTypeName>צד</PartyTypeName>
        <ProceedingType>כתב טענות עיקרי</ProceedingType>
        <PleaName>כתב תביעה</PleaName>
        <PartyBelonging>צד ב'</PartyBelonging>
        <RoleName>נתבע 2</RoleName>
        <IsSubProceeding>FALSE</IsSubProceeding>
        <FullName>אגם אלגרנטי (קטין)</FullName>
        <FirstName>אגם</FirstName>
        <LastName>אלגרנטי</LastName>
        <PartyPropertyID>2</PartyPropertyID>
        <PartyPropertyName/>
        <AuthenticationTypeAndNumber>דרכון N5484923</AuthenticationTypeAndNumber>
        <RepresentatedOrRepresentativesNames>נסרין אעלימי</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269063297</CasePartyID>
        <PartyTypeID>1</PartyTypeID>
        <ActivityStatusID>1</ActivityStatusID>
        <PartyAliasID>2</PartyAliasID>
        <PartyAliasName>נתבע</PartyAliasName>
        <OrdinalNumber>2</OrdinalNumber>
        <LegalEntityID>81835840</LegalEntityID>
        <CaseLegalEntityID>128433943</CaseLegalEntityID>
        <AuthenticationTypeID>2</AuthenticationTypeID>
        <AuthenticationTypeName>דרכון</AuthenticationTypeName>
        <LegalEntityNumber>N5484923</LegalEntityNumber>
        <IsMainPartyType>true</IsMainPartyType>
        <CaseDisplayIdentifier>55773-03-24</CaseDisplayIdentifier>
        <CaseTypeID>15</CaseTypeID>
        <CaseTypeName>תיק משפחה (תמ"ש)</CaseTypeName>
        <CaseName>אלגרנטי נ' אלגרנטי פרן ואח'</CaseName>
        <FullAddress>אוסטרליה</FullAddress>
        <MotionID>0</MotionID>
        <CasePleaID>0</CasePleaID>
        <PassportCountryID>860</PassportCountryID>
        <BirthDate>2010-07-21T09:59:49+03:00</BirthDate>
        <LinkedCaseID>0</LinkedCaseID>
        <PartyID>2</PartyID>
        <CasePartyCategoryID>2</CasePartyCategoryID>
        <LegalEntityAddressID>89166097</LegalEntityAddressID>
        <PleaTypeID>4</PleaTypeID>
        <GroupPartyAlias>נתבעים</GroupPartyAlias>
        <IsConverted>false</IsConverted>
        <LegalEntityNameID>96444620</LegalEntityNameID>
        <RepresentatedNamesOfAssistant/>
        <LegalEntityTypeID>2</LegalEntityTypeID>
        <IsVerdictExists>false</IsVerdictExists>
        <IsAsirAzir>false</IsAsirAzir>
        <MainAndSecSpec/>
        <IsPublicationProhibited>false</IsPublicationProhibited>
        <PublicationProhibitedFullName>אגם אלגרנטי (קטין)</PublicationProhibitedFullName>
      </CaseParties>
      <CaseParties>
        <PartyTypeName>צד</PartyTypeName>
        <ProceedingType>כתב טענות עיקרי</ProceedingType>
        <PleaName>כתב תביעה</PleaName>
        <PartyBelonging>צד ב'</PartyBelonging>
        <RoleName>נתבע 3</RoleName>
        <IsSubProceeding>FALSE</IsSubProceeding>
        <FullName>פלג אלגרנטי (קטין)</FullName>
        <FirstName>פלג</FirstName>
        <LastName>אלגרנטי</LastName>
        <PartyPropertyID>2</PartyPropertyID>
        <PartyPropertyName/>
        <AuthenticationTypeAndNumber>דרכון PA2219798</AuthenticationTypeAndNumber>
        <RepresentatedOrRepresentativesNames>נסרין אעלימי</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269063415</CasePartyID>
        <PartyTypeID>1</PartyTypeID>
        <ActivityStatusID>1</ActivityStatusID>
        <PartyAliasID>2</PartyAliasID>
        <PartyAliasName>נתבע</PartyAliasName>
        <OrdinalNumber>3</OrdinalNumber>
        <LegalEntityID>81835841</LegalEntityID>
        <CaseLegalEntityID>128433944</CaseLegalEntityID>
        <AuthenticationTypeID>2</AuthenticationTypeID>
        <AuthenticationTypeName>דרכון</AuthenticationTypeName>
        <LegalEntityNumber>PA2219798</LegalEntityNumber>
        <IsMainPartyType>true</IsMainPartyType>
        <CaseDisplayIdentifier>55773-03-24</CaseDisplayIdentifier>
        <CaseTypeID>15</CaseTypeID>
        <CaseTypeName>תיק משפחה (תמ"ש)</CaseTypeName>
        <CaseName>אלגרנטי נ' אלגרנטי פרן ואח'</CaseName>
        <FullAddress>אוסטרליה</FullAddress>
        <MotionID>0</MotionID>
        <CasePleaID>0</CasePleaID>
        <PassportCountryID>860</PassportCountryID>
        <BirthDate>2013-07-20T10:18:05+03:00</BirthDate>
        <LinkedCaseID>0</LinkedCaseID>
        <PartyID>2</PartyID>
        <CasePartyCategoryID>2</CasePartyCategoryID>
        <LegalEntityAddressID>89166098</LegalEntityAddressID>
        <PleaTypeID>4</PleaTypeID>
        <GroupPartyAlias>נתבעים</GroupPartyAlias>
        <IsConverted>false</IsConverted>
        <LegalEntityNameID>96401048</LegalEntityNameID>
        <RepresentatedNamesOfAssistant/>
        <LegalEntityTypeID>2</LegalEntityTypeID>
        <IsVerdictExists>false</IsVerdictExists>
        <IsAsirAzir>false</IsAsirAzir>
        <MainAndSecSpec/>
        <IsPublicationProhibited>false</IsPublicationProhibited>
        <PublicationProhibitedFullName>פלג אלגרנטי (קטין)</PublicationProhibitedFullName>
      </CaseParties>
    </CasePartiesSelectionDS>
    <DecisionName>פסק דין  שניתנה ע"י  טל פפרני</DecisionName>
    <CourtDisplayName>בית משפט לענייני משפחה בחיפה</CourtDisplayName>
    <IsCaseJudgePanel>false</IsCaseJudgePanel>
    <DecisionSignatureDate>2024-07-05T12:50:24.1790987+03:00</DecisionSignatureDate>
    <OpenCaseDate>2024-03-25T07:00:00+02:00</OpenCaseDate>
    <CaseFeeSum>0.000</CaseFeeSum>
    <DecisionTypeID>2</DecisionTypeID>
    <DecisionSignatureUserName>טל פפרני</DecisionSignatureUserName>
    <DecisionSignatureDateHebrew>2024-07-05T12:50:24.1790987+03:00</DecisionSignatureDateHebrew>
    <DecisionWriterID>023095623@GOV.IL</DecisionWriterID>
    <CourtAddress>רח' פלי"ם 12 היכל המשפט, חיפה 33095</CourtAddress>
    <IsAutoTextInCaseExist>true</IsAutoTextInCaseExist>
    <DecisionSignatureRoleName>שופט</DecisionSignatureRoleName>
    <DecisionSignatureUserTitleName>שופט, סגן הנשיאה</DecisionSignatureUserTitleName>
    <CaseName>אלגרנטי נ' אלגרנטי פרן ואח'</CaseName>
    <DecisionNumberInCase>45</DecisionNumberInCase>
  </dt_Decision>
  <dt_DecisionCase>
    <DecisionID>0</DecisionID>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iesSelectionDS>
      <CaseParties>
        <PartyTypeName>מומחה</PartyTypeName>
        <ProceedingType>בית משפט</ProceedingType>
        <PleaName>כתב תביעה</PleaName>
        <PartyBelonging> - </PartyBelonging>
        <RoleName>מומחה בית משפט </RoleName>
        <IsSubProceeding>FALSE</IsSubProceeding>
        <FullName>דניאל גוטליב</FullName>
        <FirstName>דניאל</FirstName>
        <LastName>גוטליב</LastName>
        <PartyPropertyName/>
        <AuthenticationTypeAndNumber>ת"ז 015865694</AuthenticationTypeAndNumber>
        <RepresentatedOrRepresentativesNames/>
        <RepresentatedOrRepresentativesCount>0</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269267288</CasePartyID>
        <PartyTypeID>5</PartyTypeID>
        <ActivityStatusID>1</ActivityStatusID>
        <PartyAliasID>102</PartyAliasID>
        <PartyAliasName>מומחה בית משפט</PartyAliasName>
        <LegalEntityID>69977556</LegalEntityID>
        <CaseLegalEntityID>128609154</CaseLegalEntityID>
        <AuthenticationTypeID>1</AuthenticationTypeID>
        <AuthenticationTypeName>ת"ז</AuthenticationTypeName>
        <LegalEntityNumber>015865694</LegalEntityNumber>
        <IsMainPartyType>true</IsMainPartyType>
        <CaseDisplayIdentifier>55773-03-24</CaseDisplayIdentifier>
        <CaseTypeID>15</CaseTypeID>
        <CaseTypeName>תיק משפחה (תמ"ש)</CaseTypeName>
        <CaseName>אלגרנטי נ' אלגרנטי פרן ואח'</CaseName>
        <FullAddress>קיבוץ גליל ים גליל ים הרצליה</FullAddress>
        <EmailAddress>shinui@machonshinui.co.il</EmailAddress>
        <MotionID>0</MotionID>
        <CasePleaID>0</CasePleaID>
        <FatherName xml:space="preserve">        </FatherName>
        <LinkedCaseID>0</LinkedCaseID>
        <CasePartyCategoryID>1</CasePartyCategoryID>
        <LegalEntityAddressID>70849724</LegalEntityAddressID>
        <LegalEntityEmailAddressID>68377715</LegalEntityEmailAddressID>
        <PleaTypeID>4</PleaTypeID>
        <GroupPartyAlias/>
        <IsConverted>false</IsConverted>
        <LegalEntityNameID>72260868</LegalEntityNameID>
        <RepresentatedNamesOfAssistant/>
        <LegalEntityTypeID>6</LegalEntityTypeID>
        <IsVerdictExists>false</IsVerdictExists>
        <IsAsirAzir>false</IsAsirAzir>
        <MainAndSecSpec/>
        <IsPublicationProhibited>false</IsPublicationProhibited>
        <PublicationProhibitedFullName>דניאל גוטליב</PublicationProhibitedFullName>
      </CaseParties>
      <CaseParties>
        <PartyTypeName>מסייע</PartyTypeName>
        <ProceedingType>כתב טענות עיקרי</ProceedingType>
        <PleaName>כתב תביעה</PleaName>
        <PartyBelonging> - </PartyBelonging>
        <RoleName>מסייע ללא מיוצגים וסניגוריה ציבורית </RoleName>
        <IsSubProceeding>FALSE</IsSubProceeding>
        <FullName>הסיוע המשפטי - מחוז חיפה</FullName>
        <LastName>הסיוע המשפטי - מחוז חיפה</LastName>
        <PartyPropertyName/>
        <AuthenticationTypeAndNumber>משרדי ממשלה 513442022</AuthenticationTypeAndNumber>
        <RepresentatedOrRepresentativesNames/>
        <RepresentatedOrRepresentativesCount>0</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268559719</CasePartyID>
        <PartyTypeID>3</PartyTypeID>
        <ActivityStatusID>1</ActivityStatusID>
        <LegalEntityID>7537325</LegalEntityID>
        <CaseLegalEntityID>128402596</CaseLegalEntityID>
        <AssistantRoleID>26</AssistantRoleID>
        <AuthenticationTypeID>13</AuthenticationTypeID>
        <AuthenticationTypeName>משרדי ממשלה</AuthenticationTypeName>
        <LegalEntityNumber>513442022</LegalEntityNumber>
        <IsMainPartyType>true</IsMainPartyType>
        <CaseDisplayIdentifier>55773-03-24</CaseDisplayIdentifier>
        <CaseTypeID>15</CaseTypeID>
        <CaseTypeName>תיק משפחה (תמ"ש)</CaseTypeName>
        <CaseName>אלגרנטי נ' אלגרנטי פרן ואח'</CaseName>
        <FullAddress>שד' פל ים 15 א' חיפה </FullAddress>
        <MotionID>0</MotionID>
        <CasePleaID>0</CasePleaID>
        <LinkedCaseID>0</LinkedCaseID>
        <PartyID>1</PartyID>
        <CasePartyCategoryID>2</CasePartyCategoryID>
        <LegalEntityAddressID>7578509</LegalEntityAddressID>
        <PleaTypeID>4</PleaTypeID>
        <GroupPartyAlias/>
        <IsConverted>false</IsConverted>
        <LegalEntityRegisteredNameID>6018545</LegalEntityRegisteredNameID>
        <RepresentatedNamesOfAssistant/>
        <LegalEntityTypeID>3</LegalEntityTypeID>
        <IsVerdictExists>false</IsVerdictExists>
        <IsAsirAzir>false</IsAsirAzir>
        <MainAndSecSpec/>
        <IsPublicationProhibited>false</IsPublicationProhibited>
        <PublicationProhibitedFullName>הסיוע המשפטי - מחוז חיפה</PublicationProhibitedFullName>
      </CaseParties>
      <CaseParties>
        <PartyTypeName>מסייע</PartyTypeName>
        <ProceedingType>כתב טענות עיקרי</ProceedingType>
        <PleaName>כתב תביעה</PleaName>
        <PartyBelonging> - </PartyBelonging>
        <RoleName>יחידת סיוע</RoleName>
        <IsSubProceeding>FALSE</IsSubProceeding>
        <FullName>יחידת סיוע שליד בימ"ש לענייני משפחה חיפה</FullName>
        <LastName>יחידת סיוע שליד בימ"ש לענייני משפחה חיפה</LastName>
        <PartyPropertyName/>
        <AuthenticationTypeAndNumber>משרדי ממשלה 570001566</AuthenticationTypeAndNumber>
        <RepresentatedOrRepresentativesNames/>
        <RepresentatedOrRepresentativesCount>0</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268569405</CasePartyID>
        <PartyTypeID>3</PartyTypeID>
        <ActivityStatusID>1</ActivityStatusID>
        <LegalEntityID>70172786</LegalEntityID>
        <CaseLegalEntityID>128405517</CaseLegalEntityID>
        <AssistantRoleID>8</AssistantRoleID>
        <AuthenticationTypeID>13</AuthenticationTypeID>
        <AuthenticationTypeName>משרדי ממשלה</AuthenticationTypeName>
        <LegalEntityNumber>570001566</LegalEntityNumber>
        <IsMainPartyType>true</IsMainPartyType>
        <CaseDisplayIdentifier>55773-03-24</CaseDisplayIdentifier>
        <CaseTypeID>15</CaseTypeID>
        <CaseTypeName>תיק משפחה (תמ"ש)</CaseTypeName>
        <CaseName>אלגרנטי נ' אלגרנטי פרן ואח'</CaseName>
        <FullAddress>פל ים 7 חיפה </FullAddress>
        <MotionID>0</MotionID>
        <CasePleaID>0</CasePleaID>
        <LinkedCaseID>0</LinkedCaseID>
        <PartyID>1</PartyID>
        <CasePartyCategoryID>2</CasePartyCategoryID>
        <LegalEntityAddressID>78793379</LegalEntityAddressID>
        <PleaTypeID>4</PleaTypeID>
        <GroupPartyAlias/>
        <IsConverted>false</IsConverted>
        <LegalEntityRegisteredNameID>2511776</LegalEntityRegisteredNameID>
        <RepresentatedNamesOfAssistant/>
        <LegalEntityTypeID>3</LegalEntityTypeID>
        <IsVerdictExists>false</IsVerdictExists>
        <IsAsirAzir>false</IsAsirAzir>
        <MainAndSecSpec/>
        <IsPublicationProhibited>false</IsPublicationProhibited>
        <PublicationProhibitedFullName>יחידת סיוע שליד בימ"ש לענייני משפחה חיפה</PublicationProhibitedFullName>
      </CaseParties>
      <CaseParties>
        <PartyTypeName>בא כוח</PartyTypeName>
        <ProceedingType>כתב טענות עיקרי</ProceedingType>
        <PleaName>כתב תביעה</PleaName>
        <PartyBelonging> - </PartyBelonging>
        <RoleName>בא כוח מסייעים</RoleName>
        <IsSubProceeding>FALSE</IsSubProceeding>
        <FullName>נסרין אעלימי</FullName>
        <FirstName>נסרין</FirstName>
        <LastName>אעלימי</LastName>
        <PartyPropertyName/>
        <AuthenticationTypeAndNumber>מ.ר. 28920</AuthenticationTypeAndNumber>
        <RepresentatedOrRepresentativesNames>אגם אלגרנטי, פלג אלגרנטי</RepresentatedOrRepresentativesNames>
        <RepresentatedOrRepresentativesCount>2</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268664338</CasePartyID>
        <PartyTypeID>2</PartyTypeID>
        <ActivityStatusID>1</ActivityStatusID>
        <PartyAliasID>105</PartyAliasID>
        <PartyAliasName>בא כוח מסייעים</PartyAliasName>
        <LegalEntityID>403895</LegalEntityID>
        <CaseLegalEntityID>128433984</CaseLegalEntityID>
        <AuthenticationTypeID>4</AuthenticationTypeID>
        <AuthenticationTypeName>מ.ר.</AuthenticationTypeName>
        <LegalEntityNumber>28920</LegalEntityNumber>
        <IsMainPartyType>true</IsMainPartyType>
        <CaseDisplayIdentifier>55773-03-24</CaseDisplayIdentifier>
        <CaseTypeID>15</CaseTypeID>
        <CaseTypeName>תיק משפחה (תמ"ש)</CaseTypeName>
        <CaseName>אלגרנטי נ' אלגרנטי פרן ואח'</CaseName>
        <FullAddress>כפר קרע כפר קרע </FullAddress>
        <EmailAddress>ak.nasreen@gmail.com</EmailAddress>
        <MotionID>0</MotionID>
        <CasePleaID>0</CasePleaID>
        <FatherName xml:space="preserve">        </FatherName>
        <LinkedCaseID>0</LinkedCaseID>
        <PartyID>1</PartyID>
        <CasePartyCategoryID>2</CasePartyCategoryID>
        <LegalEntityAddressID>83833754</LegalEntityAddressID>
        <LegalEntityEmailAddressID>67978376</LegalEntityEmailAddressID>
        <PleaTypeID>4</PleaTypeID>
        <LawyerOfficeName>משרד עו"ד: נסרין אעלימי</LawyerOfficeName>
        <LawyerOfficeID>444539</LawyerOfficeID>
        <GroupPartyAlias/>
        <IsConverted>false</IsConverted>
        <LegalEntityNameID>24879</LegalEntityNameID>
        <RepresentatedNamesOfAssistant/>
        <LegalEntityTypeID>4</LegalEntityTypeID>
        <IsVerdictExists>false</IsVerdictExists>
        <IsAsirAzir>false</IsAsirAzir>
        <MainAndSecSpec/>
        <IsPublicationProhibited>false</IsPublicationProhibited>
        <PublicationProhibitedFullName>נסרין אעלימי</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איריס שינפלד</FullName>
        <FirstName>איריס</FirstName>
        <LastName>שינפלד</LastName>
        <PartyPropertyName/>
        <AuthenticationTypeAndNumber>מ.ר. 28762</AuthenticationTypeAndNumber>
        <RepresentatedOrRepresentativesNames>ליאת אלגרנטי פרן</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268631641</CasePartyID>
        <PartyTypeID>2</PartyTypeID>
        <ActivityStatusID>1</ActivityStatusID>
        <PartyAliasID>21</PartyAliasID>
        <PartyAliasName>בא כוח נתבעים</PartyAliasName>
        <LegalEntityID>406771</LegalEntityID>
        <CaseLegalEntityID>128423424</CaseLegalEntityID>
        <AuthenticationTypeID>4</AuthenticationTypeID>
        <AuthenticationTypeName>מ.ר.</AuthenticationTypeName>
        <LegalEntityNumber>28762</LegalEntityNumber>
        <IsMainPartyType>true</IsMainPartyType>
        <CaseDisplayIdentifier>55773-03-24</CaseDisplayIdentifier>
        <CaseTypeID>15</CaseTypeID>
        <CaseTypeName>תיק משפחה (תמ"ש)</CaseTypeName>
        <CaseName>אלגרנטי נ' אלגרנטי פרן ואח'</CaseName>
        <FullAddress>החשמונאים 90 תל אביב -יפו ת.ד 20276</FullAddress>
        <EmailAddress>iris@is-law.co.il</EmailAddress>
        <MotionID>0</MotionID>
        <CasePleaID>0</CasePleaID>
        <LinkedCaseID>0</LinkedCaseID>
        <PartyID>2</PartyID>
        <CasePartyCategoryID>2</CasePartyCategoryID>
        <LegalEntityAddressID>449753</LegalEntityAddressID>
        <LegalEntityEmailAddressID>67840345</LegalEntityEmailAddressID>
        <PleaTypeID>4</PleaTypeID>
        <LawyerOfficeName>משרד עו"ד: איריס שינפלד</LawyerOfficeName>
        <LawyerOfficeID>447415</LawyerOfficeID>
        <GroupPartyAlias/>
        <IsConverted>false</IsConverted>
        <LegalEntityNameID>27755</LegalEntityNameID>
        <RepresentatedNamesOfAssistant/>
        <LegalEntityTypeID>4</LegalEntityTypeID>
        <IsVerdictExists>false</IsVerdictExists>
        <IsAsirAzir>false</IsAsirAzir>
        <MainAndSecSpec/>
        <IsPublicationProhibited>false</IsPublicationProhibited>
        <PublicationProhibitedFullName>איריס שינפלד</PublicationProhibitedFullName>
      </CaseParties>
      <CaseParties>
        <PartyTypeName>מסייע</PartyTypeName>
        <ProceedingType>כתב טענות עיקרי</ProceedingType>
        <PleaName>כתב תביעה</PleaName>
        <PartyBelonging> - </PartyBelonging>
        <RoleName>הרשות המרכזית-המחלקה ליחסים בינלאומיים, פרקליטות המדינה</RoleName>
        <IsSubProceeding>FALSE</IsSubProceeding>
        <FullName>פרקליטות המדינה, המחלקה ליחסים בינלאומיים</FullName>
        <LastName>פרקליטות המדינה, המחלקה ליחסים בינלאומיים</LastName>
        <PartyPropertyName/>
        <AuthenticationTypeAndNumber>משרדי ממשלה 570000883</AuthenticationTypeAndNumber>
        <RepresentatedOrRepresentativesNames/>
        <RepresentatedOrRepresentativesCount>0</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268112879</CasePartyID>
        <PartyTypeID>3</PartyTypeID>
        <ActivityStatusID>1</ActivityStatusID>
        <OrdinalNumber>1</OrdinalNumber>
        <LegalEntityID>33199120</LegalEntityID>
        <CaseLegalEntityID>128276987</CaseLegalEntityID>
        <AssistantRoleID>20</AssistantRoleID>
        <AuthenticationTypeID>13</AuthenticationTypeID>
        <AuthenticationTypeName>משרדי ממשלה</AuthenticationTypeName>
        <LegalEntityNumber>570000883</LegalEntityNumber>
        <IsMainPartyType>true</IsMainPartyType>
        <CaseDisplayIdentifier>55773-03-24</CaseDisplayIdentifier>
        <CaseTypeID>15</CaseTypeID>
        <CaseTypeName>תיק משפחה (תמ"ש)</CaseTypeName>
        <CaseName>אלגרנטי נ' אלגרנטי פרן ואח'</CaseName>
        <FullAddress>מחל 7 ירושלים שכונת מעלות דפנה</FullAddress>
        <MotionID>0</MotionID>
        <CasePleaID>0</CasePleaID>
        <LinkedCaseID>0</LinkedCaseID>
        <CasePartyCategoryID>2</CasePartyCategoryID>
        <LegalEntityAddressID>33671559</LegalEntityAddressID>
        <PleaTypeID>4</PleaTypeID>
        <GroupPartyAlias/>
        <IsConverted>false</IsConverted>
        <LegalEntityRegisteredNameID>3571923</LegalEntityRegisteredNameID>
        <RepresentatedNamesOfAssistant/>
        <LegalEntityTypeID>3</LegalEntityTypeID>
        <IsVerdictExists>false</IsVerdictExists>
        <IsAsirAzir>false</IsAsirAzir>
        <MainAndSecSpec/>
        <IsPublicationProhibited>false</IsPublicationProhibited>
        <PublicationProhibitedFullName>פרקליטות המדינה, המחלקה ליחסים בינלאומיים</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אמיר קוזקוב</FullName>
        <FirstName>אמיר</FirstName>
        <LastName>קוזקוב</LastName>
        <PartyPropertyName/>
        <AuthenticationTypeAndNumber>מ.ר. 36675</AuthenticationTypeAndNumber>
        <RepresentatedOrRepresentativesNames>אלי אלגרנטי</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268112881</CasePartyID>
        <PartyTypeID>2</PartyTypeID>
        <ActivityStatusID>1</ActivityStatusID>
        <PartyAliasID>20</PartyAliasID>
        <PartyAliasName>בא כוח תובעים</PartyAliasName>
        <OrdinalNumber>1</OrdinalNumber>
        <LegalEntityID>409688</LegalEntityID>
        <CaseLegalEntityID>128276989</CaseLegalEntityID>
        <AuthenticationTypeID>4</AuthenticationTypeID>
        <AuthenticationTypeName>מ.ר.</AuthenticationTypeName>
        <LegalEntityNumber>36675</LegalEntityNumber>
        <IsMainPartyType>true</IsMainPartyType>
        <CaseDisplayIdentifier>55773-03-24</CaseDisplayIdentifier>
        <CaseTypeID>15</CaseTypeID>
        <CaseTypeName>תיק משפחה (תמ"ש)</CaseTypeName>
        <CaseName>אלגרנטי נ' אלגרנטי פרן ואח'</CaseName>
        <FullAddress>רוטשילד 45 ראשון לציון </FullAddress>
        <EmailAddress>info@cwl.co.il</EmailAddress>
        <MotionID>0</MotionID>
        <CasePleaID>0</CasePleaID>
        <FatherName xml:space="preserve">        </FatherName>
        <LinkedCaseID>0</LinkedCaseID>
        <PartyID>1</PartyID>
        <CasePartyCategoryID>2</CasePartyCategoryID>
        <LegalEntityAddressID>70610097</LegalEntityAddressID>
        <LegalEntityEmailAddressID>68265682</LegalEntityEmailAddressID>
        <PleaTypeID>4</PleaTypeID>
        <LawyerOfficeName>משרד עו"ד: קוזקוב, ווינקלר</LawyerOfficeName>
        <LawyerOfficeID>455015</LawyerOfficeID>
        <GroupPartyAlias/>
        <IsConverted>false</IsConverted>
        <LegalEntityNameID>30672</LegalEntityNameID>
        <RepresentatedNamesOfAssistant/>
        <LegalEntityTypeID>4</LegalEntityTypeID>
        <IsVerdictExists>false</IsVerdictExists>
        <IsAsirAzir>false</IsAsirAzir>
        <MainAndSecSpec/>
        <IsPublicationProhibited>false</IsPublicationProhibited>
        <PublicationProhibitedFullName>אמיר קוזקוב</PublicationProhibitedFullName>
      </CaseParties>
      <CaseParties>
        <PartyTypeName>צד</PartyTypeName>
        <ProceedingType>כתב טענות עיקרי</ProceedingType>
        <PleaName>כתב תביעה</PleaName>
        <PartyBelonging>צד א'</PartyBelonging>
        <RoleName>תובע 1</RoleName>
        <IsSubProceeding>FALSE</IsSubProceeding>
        <FullName>אלי אלגרנטי</FullName>
        <FirstName>אלי</FirstName>
        <LastName>אלגרנטי</LastName>
        <PartyPropertyName/>
        <AuthenticationTypeAndNumber>דרכון PA8170703</AuthenticationTypeAndNumber>
        <RepresentatedOrRepresentativesNames>אמיר קוזקוב</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268112880</CasePartyID>
        <PartyTypeID>1</PartyTypeID>
        <ActivityStatusID>1</ActivityStatusID>
        <PartyAliasID>1</PartyAliasID>
        <PartyAliasName>תובע</PartyAliasName>
        <OrdinalNumber>1</OrdinalNumber>
        <LegalEntityID>81811866</LegalEntityID>
        <CaseLegalEntityID>128276988</CaseLegalEntityID>
        <AuthenticationTypeID>2</AuthenticationTypeID>
        <AuthenticationTypeName>דרכון</AuthenticationTypeName>
        <LegalEntityNumber>PA8170703</LegalEntityNumber>
        <IsMainPartyType>true</IsMainPartyType>
        <CaseDisplayIdentifier>55773-03-24</CaseDisplayIdentifier>
        <CaseTypeID>15</CaseTypeID>
        <CaseTypeName>תיק משפחה (תמ"ש)</CaseTypeName>
        <CaseName>אלגרנטי נ' אלגרנטי פרן ואח'</CaseName>
        <FullAddress/>
        <MotionID>0</MotionID>
        <CasePleaID>0</CasePleaID>
        <PassportCountryID>860</PassportCountryID>
        <LinkedCaseID>0</LinkedCaseID>
        <PartyID>1</PartyID>
        <CasePartyCategoryID>2</CasePartyCategoryID>
        <PleaTypeID>4</PleaTypeID>
        <GroupPartyAlias>תובעים</GroupPartyAlias>
        <IsConverted>false</IsConverted>
        <LegalEntityNameID>96342148</LegalEntityNameID>
        <RepresentatedNamesOfAssistant/>
        <LegalEntityTypeID>2</LegalEntityTypeID>
        <IsVerdictExists>false</IsVerdictExists>
        <IsAsirAzir>false</IsAsirAzir>
        <MainAndSecSpec/>
        <IsPublicationProhibited>false</IsPublicationProhibited>
        <PublicationProhibitedFullName>אלי אלגרנטי</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ליאת אלגרנטי פרן</FullName>
        <FirstName>ליאת</FirstName>
        <LastName>אלגרנטי פרן</LastName>
        <PartyPropertyName/>
        <AuthenticationTypeAndNumber>דרכון PA8170673</AuthenticationTypeAndNumber>
        <RepresentatedOrRepresentativesNames>איריס שינפלד</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268112882</CasePartyID>
        <PartyTypeID>1</PartyTypeID>
        <ActivityStatusID>1</ActivityStatusID>
        <PartyAliasID>2</PartyAliasID>
        <PartyAliasName>נתבע</PartyAliasName>
        <OrdinalNumber>1</OrdinalNumber>
        <LegalEntityID>81811867</LegalEntityID>
        <CaseLegalEntityID>128276990</CaseLegalEntityID>
        <AuthenticationTypeID>2</AuthenticationTypeID>
        <AuthenticationTypeName>דרכון</AuthenticationTypeName>
        <LegalEntityNumber>PA8170673</LegalEntityNumber>
        <IsMainPartyType>true</IsMainPartyType>
        <CaseDisplayIdentifier>55773-03-24</CaseDisplayIdentifier>
        <CaseTypeID>15</CaseTypeID>
        <CaseTypeName>תיק משפחה (תמ"ש)</CaseTypeName>
        <CaseName>אלגרנטי נ' אלגרנטי פרן ואח'</CaseName>
        <FullAddress>אנה פרנק 6 דירה 22 זכרון יעקב </FullAddress>
        <MotionID>0</MotionID>
        <CasePleaID>0</CasePleaID>
        <PassportCountryID>860</PassportCountryID>
        <LinkedCaseID>0</LinkedCaseID>
        <PartyID>2</PartyID>
        <CasePartyCategoryID>2</CasePartyCategoryID>
        <LegalEntityAddressID>89117177</LegalEntityAddressID>
        <PleaTypeID>4</PleaTypeID>
        <GroupPartyAlias>נתבעים</GroupPartyAlias>
        <IsConverted>false</IsConverted>
        <LegalEntityNameID>96342149</LegalEntityNameID>
        <RepresentatedNamesOfAssistant/>
        <LegalEntityTypeID>2</LegalEntityTypeID>
        <IsVerdictExists>false</IsVerdictExists>
        <IsAsirAzir>false</IsAsirAzir>
        <MainAndSecSpec/>
        <IsPublicationProhibited>false</IsPublicationProhibited>
        <PublicationProhibitedFullName>ליאת אלגרנטי פרן</PublicationProhibitedFullName>
      </CaseParties>
      <CaseParties>
        <PartyTypeName>צד</PartyTypeName>
        <ProceedingType>כתב טענות עיקרי</ProceedingType>
        <PleaName>כתב תביעה</PleaName>
        <PartyBelonging>צד ב'</PartyBelonging>
        <RoleName>נתבע 2</RoleName>
        <IsSubProceeding>FALSE</IsSubProceeding>
        <FullName>אגם אלגרנטי (קטין)</FullName>
        <FirstName>אגם</FirstName>
        <LastName>אלגרנטי</LastName>
        <PartyPropertyID>2</PartyPropertyID>
        <PartyPropertyName/>
        <AuthenticationTypeAndNumber>דרכון N5484923</AuthenticationTypeAndNumber>
        <RepresentatedOrRepresentativesNames>נסרין אעלימי</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269063297</CasePartyID>
        <PartyTypeID>1</PartyTypeID>
        <ActivityStatusID>1</ActivityStatusID>
        <PartyAliasID>2</PartyAliasID>
        <PartyAliasName>נתבע</PartyAliasName>
        <OrdinalNumber>2</OrdinalNumber>
        <LegalEntityID>81835840</LegalEntityID>
        <CaseLegalEntityID>128433943</CaseLegalEntityID>
        <AuthenticationTypeID>2</AuthenticationTypeID>
        <AuthenticationTypeName>דרכון</AuthenticationTypeName>
        <LegalEntityNumber>N5484923</LegalEntityNumber>
        <IsMainPartyType>true</IsMainPartyType>
        <CaseDisplayIdentifier>55773-03-24</CaseDisplayIdentifier>
        <CaseTypeID>15</CaseTypeID>
        <CaseTypeName>תיק משפחה (תמ"ש)</CaseTypeName>
        <CaseName>אלגרנטי נ' אלגרנטי פרן ואח'</CaseName>
        <FullAddress>אוסטרליה</FullAddress>
        <MotionID>0</MotionID>
        <CasePleaID>0</CasePleaID>
        <PassportCountryID>860</PassportCountryID>
        <BirthDate>2010-07-21T09:59:49+03:00</BirthDate>
        <LinkedCaseID>0</LinkedCaseID>
        <PartyID>2</PartyID>
        <CasePartyCategoryID>2</CasePartyCategoryID>
        <LegalEntityAddressID>89166097</LegalEntityAddressID>
        <PleaTypeID>4</PleaTypeID>
        <GroupPartyAlias>נתבעים</GroupPartyAlias>
        <IsConverted>false</IsConverted>
        <LegalEntityNameID>96444620</LegalEntityNameID>
        <RepresentatedNamesOfAssistant/>
        <LegalEntityTypeID>2</LegalEntityTypeID>
        <IsVerdictExists>false</IsVerdictExists>
        <IsAsirAzir>false</IsAsirAzir>
        <MainAndSecSpec/>
        <IsPublicationProhibited>false</IsPublicationProhibited>
        <PublicationProhibitedFullName>אגם אלגרנטי (קטין)</PublicationProhibitedFullName>
      </CaseParties>
      <CaseParties>
        <PartyTypeName>צד</PartyTypeName>
        <ProceedingType>כתב טענות עיקרי</ProceedingType>
        <PleaName>כתב תביעה</PleaName>
        <PartyBelonging>צד ב'</PartyBelonging>
        <RoleName>נתבע 3</RoleName>
        <IsSubProceeding>FALSE</IsSubProceeding>
        <FullName>פלג אלגרנטי (קטין)</FullName>
        <FirstName>פלג</FirstName>
        <LastName>אלגרנטי</LastName>
        <PartyPropertyID>2</PartyPropertyID>
        <PartyPropertyName/>
        <AuthenticationTypeAndNumber>דרכון PA2219798</AuthenticationTypeAndNumber>
        <RepresentatedOrRepresentativesNames>נסרין אעלימי</RepresentatedOrRepresentativesNames>
        <RepresentatedOrRepresentativesCount>1</RepresentatedOrRepresentativesCount>
        <InvitedBy/>
        <CaseID>81099250</CaseID>
        <CaseJudicialPersonPresentationDS>
          <CaseJudicalPersonActive>
            <CaseID>81099250</CaseID>
            <JudicialPersonID>023095623@GOV.IL</JudicialPersonID>
            <JudicialPersonTypeID>1</JudicialPersonTypeID>
            <JudicialTypeID>1</JudicialTypeID>
            <IsChairman>false</IsChairman>
            <TreatmentStartDate>2024-04-02T08:29:53.147+03:00</TreatmentStartDate>
            <TreatmentFinishDate>9999-12-31T23:59:59.997+02:00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269063415</CasePartyID>
        <PartyTypeID>1</PartyTypeID>
        <ActivityStatusID>1</ActivityStatusID>
        <PartyAliasID>2</PartyAliasID>
        <PartyAliasName>נתבע</PartyAliasName>
        <OrdinalNumber>3</OrdinalNumber>
        <LegalEntityID>81835841</LegalEntityID>
        <CaseLegalEntityID>128433944</CaseLegalEntityID>
        <AuthenticationTypeID>2</AuthenticationTypeID>
        <AuthenticationTypeName>דרכון</AuthenticationTypeName>
        <LegalEntityNumber>PA2219798</LegalEntityNumber>
        <IsMainPartyType>true</IsMainPartyType>
        <CaseDisplayIdentifier>55773-03-24</CaseDisplayIdentifier>
        <CaseTypeID>15</CaseTypeID>
        <CaseTypeName>תיק משפחה (תמ"ש)</CaseTypeName>
        <CaseName>אלגרנטי נ' אלגרנטי פרן ואח'</CaseName>
        <FullAddress>אוסטרליה</FullAddress>
        <MotionID>0</MotionID>
        <CasePleaID>0</CasePleaID>
        <PassportCountryID>860</PassportCountryID>
        <BirthDate>2013-07-20T10:18:05+03:00</BirthDate>
        <LinkedCaseID>0</LinkedCaseID>
        <PartyID>2</PartyID>
        <CasePartyCategoryID>2</CasePartyCategoryID>
        <LegalEntityAddressID>89166098</LegalEntityAddressID>
        <PleaTypeID>4</PleaTypeID>
        <GroupPartyAlias>נתבעים</GroupPartyAlias>
        <IsConverted>false</IsConverted>
        <LegalEntityNameID>96401048</LegalEntityNameID>
        <RepresentatedNamesOfAssistant/>
        <LegalEntityTypeID>2</LegalEntityTypeID>
        <IsVerdictExists>false</IsVerdictExists>
        <IsAsirAzir>false</IsAsirAzir>
        <MainAndSecSpec/>
        <IsPublicationProhibited>false</IsPublicationProhibited>
        <PublicationProhibitedFullName>פלג אלגרנטי (קטין)</PublicationProhibitedFullName>
      </CaseParties>
    </CasePartiesSelectionDS>
    <CaseName>אלגרנטי נ' אלגרנטי פרן ואח'</CaseName>
    <CaseDisplayIdentifier>55773-03-24</CaseDisplayIdentifier>
    <CaseInterestID>139</CaseInterestID>
    <CaseTypeShortName>תמ"ש</CaseTypeShortName>
  </dt_DecisionCase>
  <dt_DecisionJudgePanel>
    <JudgeID>023095623@GOV.IL</JudgeID>
    <DisplayName>טל פפרני</DisplayName>
    <RoleName>שופט</RoleName>
    <UserTitleName>שופט, סגן הנשיאה</UserTitleName>
  </dt_DecisionJudgePanel>
  <dt_LegalEntityDetails>
    <Fax>02-6462654</Fax>
    <Phone>04-8633643</Phone>
    <AddressDesc/>
    <PartyID>1</PartyID>
    <PartyTypeID>3</PartyTypeID>
    <DecisionID>0</DecisionID>
    <AssistantRoleID>26</AssistantRoleID>
    <StreetName>שד' פל ים 15 א' </StreetName>
    <CityName>חיפה</CityName>
    <FullName> הסיוע המשפטי - מחוז חיפה</FullName>
    <Email/>
    <IsPublicationProhibited>false</IsPublicationProhibited>
  </dt_LegalEntityDetails>
  <dt_LegalEntityDetails>
    <Fax>04-8660759</Fax>
    <Phone>072-3744380</Phone>
    <AddressDesc/>
    <PartyID>1</PartyID>
    <PartyTypeID>3</PartyTypeID>
    <DecisionID>0</DecisionID>
    <AssistantRoleID>8</AssistantRoleID>
    <StreetName>פל ים 7</StreetName>
    <ZipCode>31000</ZipCode>
    <CityName>חיפה</CityName>
    <FullName> יחידת סיוע שליד בימ"ש לענייני משפחה חיפה</FullName>
    <Email/>
    <IsPublicationProhibited>false</IsPublicationProhibited>
  </dt_LegalEntityDetails>
  <dt_LegalEntityDetails>
    <Fax>03-6243595</Fax>
    <Phone>03-6243592</Phone>
    <AddressDesc>ת.ד 20276</AddressDesc>
    <PartyID>2</PartyID>
    <PartyTypeID>2</PartyTypeID>
    <DecisionID>0</DecisionID>
    <StreetName>החשמונאים 90</StreetName>
    <ZipCode>61202</ZipCode>
    <CityName>תל אביב -יפו</CityName>
    <FullName>איריס שינפלד</FullName>
    <Email>iris@is-law.co.il</Email>
    <IsPublicationProhibited>false</IsPublicationProhibited>
  </dt_LegalEntityDetails>
  <dt_LegalEntityDetails>
    <Fax>077-2498594</Fax>
    <Phone>04-6528588</Phone>
    <AddressDesc/>
    <PartyID>1</PartyID>
    <PartyTypeID>2</PartyTypeID>
    <DecisionID>0</DecisionID>
    <StreetName>כפר קרע</StreetName>
    <ZipCode>30075</ZipCode>
    <CityName>כפר קרע</CityName>
    <FullName>נסרין אעלימי</FullName>
    <Email>ak.nasreen@gmail.com</Email>
    <IsPublicationProhibited>false</IsPublicationProhibited>
  </dt_LegalEntityDetails>
  <dt_LegalEntityDetails>
    <Fax>09-9509747</Fax>
    <Phone>09-9551973</Phone>
    <AddressDesc>הרצליה</AddressDesc>
    <PartyTypeID>5</PartyTypeID>
    <DecisionID>0</DecisionID>
    <StreetName>קיבוץ גליל ים</StreetName>
    <ZipCode>46905</ZipCode>
    <CityName>גליל ים</CityName>
    <FullName>דניאל גוטליב</FullName>
    <Email>shinui@machonshinui.co.il</Email>
    <IsPublicationProhibited>false</IsPublicationProhibited>
  </dt_LegalEntityDetails>
  <dt_LegalEntityDetails>
    <Fax>02-5419644</Fax>
    <Phone>073-3928262</Phone>
    <AddressDesc>שכונת מעלות דפנה </AddressDesc>
    <PartyTypeID>3</PartyTypeID>
    <DecisionID>0</DecisionID>
    <AssistantRoleID>20</AssistantRoleID>
    <StreetName>מחל 7</StreetName>
    <ZipCode>97765</ZipCode>
    <CityName>ירושלים</CityName>
    <FullName> פרקליטות המדינה, המחלקה ליחסים בינלאומיים</FullName>
    <Email/>
    <IsPublicationProhibited>false</IsPublicationProhibited>
  </dt_LegalEntityDetails>
  <dt_LegalEntityDetails>
    <PartyID>1</PartyID>
    <PartyTypeID>1</PartyTypeID>
    <DecisionID>0</DecisionID>
    <FullName>אלי אלגרנטי</FullName>
    <IsPublicationProhibited>false</IsPublicationProhibited>
  </dt_LegalEntityDetails>
  <dt_LegalEntityDetails>
    <Fax>03-7166011</Fax>
    <Phone>03-9622011</Phone>
    <PartyID>1</PartyID>
    <PartyTypeID>2</PartyTypeID>
    <DecisionID>0</DecisionID>
    <StreetName>רוטשילד 45</StreetName>
    <ZipCode>75266</ZipCode>
    <CityName>ראשון לציון</CityName>
    <FullName>אמיר קוזקוב</FullName>
    <Email>info@cwl.co.il</Email>
    <IsPublicationProhibited>false</IsPublicationProhibited>
  </dt_LegalEntityDetails>
  <dt_LegalEntityDetails>
    <PartyID>2</PartyID>
    <PartyTypeID>1</PartyTypeID>
    <DecisionID>0</DecisionID>
    <StreetName>אנה פרנק 6 דירה 22 </StreetName>
    <CityName>זכרון יעקב</CityName>
    <FullName>ליאת אלגרנטי פרן</FullName>
    <IsPublicationProhibited>false</IsPublicationProhibited>
  </dt_LegalEntityDetails>
  <dt_LegalEntityDetails>
    <AddressDesc>אוסטרליה </AddressDesc>
    <PartyID>2</PartyID>
    <PartyTypeID>1</PartyTypeID>
    <DecisionID>0</DecisionID>
    <FullName>אגם   אלגרנטי </FullName>
    <IsPublicationProhibited>false</IsPublicationProhibited>
  </dt_LegalEntityDetails>
  <dt_LegalEntityDetails>
    <AddressDesc>אוסטרליה</AddressDesc>
    <PartyID>2</PartyID>
    <PartyTypeID>1</PartyTypeID>
    <DecisionID>0</DecisionID>
    <FullName>פלג אלגרנטי</FullName>
    <IsPublicationProhibited>false</IsPublicationProhibited>
  </dt_LegalEntityDetails>
  <dt_CaseJudicalPersonActive>
    <CaseJudicalPerson>שופט, סגן הנשיאה טל פפרני</CaseJudicalPerson>
  </dt_CaseJudicalPersonActive>
  <dt_Sitting>
    <PreviousMeetingDate>2024-04-30T12:00:00+03:00</PreviousMeetingDate>
    <PreviousSittingTypeID>2</PreviousSittingTypeID>
    <PreviousMeetingDisplayName>שופט, סגן הנשיאה טל פפרני</PreviousMeetingDisplayName>
    <PreviousMeetingRoleName>שופט</PreviousMeetingRoleName>
    <PreviousMeetingUserTitleName>שופט, סגן הנשיאה</PreviousMeetingUserTitleName>
    <PreviousMeetingUserUPN>023095623@GOV.IL</PreviousMeetingUserUPN>
  </dt_Sitting>
</DecisionTemplate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27CE1D-A057-4727-B275-79411F960060}">
  <ds:schemaRefs/>
</ds:datastoreItem>
</file>

<file path=customXml/itemProps2.xml><?xml version="1.0" encoding="utf-8"?>
<ds:datastoreItem xmlns:ds="http://schemas.openxmlformats.org/officeDocument/2006/customXml" ds:itemID="{5629BF99-C092-497A-9707-79A709881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6404</Words>
  <Characters>32024</Characters>
  <Application>Microsoft Office Word</Application>
  <DocSecurity>0</DocSecurity>
  <Lines>266</Lines>
  <Paragraphs>76</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38352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dcterms:created xsi:type="dcterms:W3CDTF">2024-08-20T06:03:00Z</dcterms:created>
  <dcterms:modified xsi:type="dcterms:W3CDTF">2024-08-20T06:03:00Z</dcterms:modified>
</cp:coreProperties>
</file>